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처리시설을 설치한 순간 ‘소재지 변경’은 완료됩니다</w:t>
      </w:r>
    </w:p>
    <w:p>
      <w:pPr>
        <w:pStyle w:val="law1"/>
        <w:autoSpaceDE w:val="0"/>
        <w:autoSpaceDN w:val="0"/>
        <w:spacing w:after="160"/>
      </w:pPr>
      <w:r>
        <w:rPr>
          <w:rFonts w:ascii="맑은 고딕" w:hAnsi="맑은 고딕" w:eastAsia="맑은 고딕" w:cs="맑은 고딕"/>
          <w:color w:val="000000"/>
        </w:rPr>
        <w:t>대법원 2013도15027 (2015.01.15 선고)</w:t>
      </w:r>
    </w:p>
    <w:p>
      <w:pPr>
        <w:autoSpaceDE w:val="0"/>
        <w:autoSpaceDN w:val="0"/>
        <w:spacing w:after="120"/>
      </w:pPr>
      <w:r>
        <w:rPr>
          <w:rFonts w:ascii="맑은 고딕" w:hAnsi="맑은 고딕" w:eastAsia="맑은 고딕" w:cs="맑은 고딕"/>
          <w:color w:val="000000"/>
        </w:rPr>
        <w:t>○ 건설폐기물 처리업의 변경허가를 받아야 하는 시기와, 예정사업지에 시설을 설치한 행위가 ‘소재지 변경’ 완료인지가 문제된 사건입니다. 대법원은 시설 설치로 소재지 변경 행위가 완료되며 영업 여부와 무관하게 처벌되나, 이 사안은 법률의 착오에 정당한 이유가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예정사업지에 건설폐기물 처리시설을 설치하면 그 자체로 ‘소재지 변경’이 완료되나요?</w:t>
            </w:r>
          </w:p>
          <w:p>
            <w:pPr>
              <w:autoSpaceDE w:val="0"/>
              <w:autoSpaceDN w:val="0"/>
            </w:pPr>
            <w:r>
              <w:rPr>
                <w:rFonts w:ascii="맑은 고딕" w:hAnsi="맑은 고딕" w:eastAsia="맑은 고딕" w:cs="맑은 고딕"/>
                <w:b w:val="0"/>
                <w:color w:val="000000"/>
                <w:sz w:val="19"/>
              </w:rPr>
              <w:t>A. 네. 시설을 설치한 순간 소재지 변경 행위가 완료되며, 그 시설로 영업행위에 나아갔는지와 관계없이 무허가 변경으로 처벌될 수 있습니다.</w:t>
            </w:r>
          </w:p>
          <w:p>
            <w:pPr>
              <w:autoSpaceDE w:val="0"/>
              <w:autoSpaceDN w:val="0"/>
            </w:pPr>
          </w:p>
          <w:p>
            <w:pPr>
              <w:autoSpaceDE w:val="0"/>
              <w:autoSpaceDN w:val="0"/>
            </w:pPr>
            <w:r>
              <w:rPr>
                <w:rFonts w:ascii="맑은 고딕" w:hAnsi="맑은 고딕" w:eastAsia="맑은 고딕" w:cs="맑은 고딕"/>
                <w:b/>
                <w:color w:val="000000"/>
                <w:sz w:val="19"/>
              </w:rPr>
              <w:t>Q. ‘시설을 갖춘 뒤 영업 전에 변경허가를 받으면 된다’고 잘못 안 경우는요?</w:t>
            </w:r>
          </w:p>
          <w:p>
            <w:pPr>
              <w:autoSpaceDE w:val="0"/>
              <w:autoSpaceDN w:val="0"/>
            </w:pPr>
            <w:r>
              <w:rPr>
                <w:rFonts w:ascii="맑은 고딕" w:hAnsi="맑은 고딕" w:eastAsia="맑은 고딕" w:cs="맑은 고딕"/>
                <w:b w:val="0"/>
                <w:color w:val="000000"/>
                <w:sz w:val="19"/>
              </w:rPr>
              <w:t>A. 이 사안에서는 그 오인에 정당한 이유가 있는 법률의 착오에 해당한다고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2013도15027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2015.01.15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피고인 · 상고인 검사</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(건설폐기물의재활용촉진에관한법률위반)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인천지법 2013노532 (2013. 11. 22.)</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 모두 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②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t>③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④ 원심판결 이유를 앞서 본 법리와 기록에 비추어 살펴보면 원심의 이러한 조치는 정당한 것으로 수긍이 가고, 거기에 상고이유의 주장과 같이 법률의 착오에 관한 법리를 오해하는 등의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구 건설폐기물의 재활용촉진에 관한 법률 제22조 제1항에 정한 변경허가를 받아야 하는 시기(=중요 사항의 변경행위 이전) / 건설폐기물 처리업 허가를 받은 자가 예정사업지에 건설폐기물 처리시설을 설치한 경우, 구 건설폐기물의 재활용촉진에 관한 법률 시행규칙 제13조 제1항 제2호에 정한 ‘건설폐기물 처리시설 소재지의 변경’ 행위를 완료한 것인지 여부(적극) 및 그 시설을 이용하여 영업행위에 나아갔는지와 관계 없이 같은 법 제63조 제4호에 의해 처벌되는지 여부(적극)</w:t>
      </w:r>
      <w:r>
        <w:rPr>
          <w:rFonts w:ascii="맑은 고딕" w:hAnsi="맑은 고딕" w:eastAsia="맑은 고딕" w:cs="맑은 고딕"/>
          <w:color w:val="000000"/>
        </w:rPr>
        <w:br/>
      </w:r>
      <w:r>
        <w:rPr>
          <w:rFonts w:ascii="맑은 고딕" w:hAnsi="맑은 고딕" w:eastAsia="맑은 고딕" w:cs="맑은 고딕"/>
          <w:color w:val="000000"/>
        </w:rPr>
        <w:t>[2] 건설폐기물 처리업 허가를 받은 피고인이 예정사업지에 건설폐기물 처리시설을 설치한 후 변경허가를 받음으로써 변경허가 없이 그 시설의 소재지를 변경하였다고 하여 구 건설폐기물의 재활용촉진에 관한 법률 위반으로 기소된 사안에서, 피고인이 예정사업지에 시설 등을 미리 갖춘 후 실제 영업행위를 하기 전에 변경허가를 받으면 된다고 그릇 인식한 것은 정당한 이유 있는 법률의 착오에 해당한다고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지 건물 3개동을 신축하고 건설폐기물 처리시설을 설치한 사실, ③ 피고인 2 회사는 2011. 10. 10.경 인천 서구청장에게 건설폐기물 처리시설 소재지의 변경 및 건설폐기물 처리시설 신설 등을 내용으로 하는 건설폐기물 처리업 변경허가신청서를 제출하여 2011. 10. 20. 변경허가를 받은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법리와 관련 법령에 비추어 살펴보면 피고인 2 회사가 기존의 사업장 부지를 이전하기 위하여 인천 서구 (주소 2 생략) 답 23,024㎡ 등 5필지의 토지를 매수하여 건설폐기물 처리시설을 설치한 이상, 이를 이용하여 영업행위를 하지 아니하였더라도 구 건설폐기물법 시행규칙 제13조 제1항 제2호에 정한 ‘건설폐기물 처리시설 소재지의 변경’ 행위가 완료되었다고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③ 그럼에도 원심은 검사가 제출한 증거만으로는 피고인들이 예정사업지에 인적·물적 조직을 포괄적으로 이전 내지 신설하여 실제로 영업행위를 하였다고 인정하기에 부족하다는 이유로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④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t>⑤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⑥ 원심판결 이유를 앞서 본 법리와 기록에 비추어 살펴보면 원심의 이러한 조치는 정당한 것으로 수긍이 가고, 거기에 상고이유의 주장과 같이 법률의 착오에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⑦ 결론 결국 원심판결에 앞서 본 바와 같이 구 건설폐기물법 시행규칙 제13조 제1항 제2호에 정한 ‘건설폐기물 처리시설 소재지의 변경’에 관한 법리를 오해한 잘못은 있으나 이 사건 각 공소사실이 형법 제16조의 법률의 착오에 해당하여 범죄로 되지 아니한다고 본 원심의 판단이 정당한 이상 원심의 이와 같은 잘못은 판결 결과에 영향을 미치지 아니하였다고 할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 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 제1항</w:t>
            </w:r>
          </w:p>
        </w:tc>
        <w:tc>
          <w:tcPr>
            <w:tcW w:type="pct" w:w="3500"/>
          </w:tcPr>
          <w:p>
            <w:pPr>
              <w:autoSpaceDE w:val="0"/>
              <w:autoSpaceDN w:val="0"/>
            </w:pPr>
            <w:r/>
            <w:r>
              <w:rPr>
                <w:rFonts w:ascii="맑은 고딕" w:hAnsi="맑은 고딕" w:eastAsia="맑은 고딕" w:cs="맑은 고딕"/>
                <w:b w:val="0"/>
                <w:color w:val="000000"/>
                <w:sz w:val="19"/>
              </w:rPr>
              <w:t>① 제21조제3항에 따른 허가를 받은 자는 허가받은 사항 중 기후에너지환경부령으로 정하는 중요 사항을 변경하려면 변경허가를 받아야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제1호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 또는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삭제 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제1항 제2호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제4호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 ② 법 제22조제1항에 따라 변경허가를 받으려는 자는 별지 제10호서식의 건설폐기물 처리업 변경계획서에 다음 각 호의 서류를 첨부하여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w:t>
            </w:r>
          </w:p>
        </w:tc>
        <w:tc>
          <w:tcPr>
            <w:tcW w:type="pct" w:w="3500"/>
          </w:tcPr>
          <w:p>
            <w:pPr>
              <w:autoSpaceDE w:val="0"/>
              <w:autoSpaceDN w:val="0"/>
            </w:pPr>
            <w:r/>
            <w:r>
              <w:rPr>
                <w:rFonts w:ascii="맑은 고딕" w:hAnsi="맑은 고딕" w:eastAsia="맑은 고딕" w:cs="맑은 고딕"/>
                <w:b w:val="0"/>
                <w:color w:val="000000"/>
                <w:sz w:val="19"/>
              </w:rPr>
              <w:t>자기의 행위가 법령에 의하여 죄가 되지 아니하는 것으로 오인한 행위는 그 오인에 정당한 이유가 있는 때에 한하여 벌하지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제62조부터 제64조까지의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https://www.law.go.kr/판례/(2013도15027)</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#2015년판례 #2013도15027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