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>
      <w:pPr>
        <w:autoSpaceDE w:val="0"/>
        <w:autoSpaceDN w:val="0"/>
        <w:spacing w:after="60"/>
      </w:pPr>
      <w:r>
        <w:rPr>
          <w:rFonts w:ascii="맑은 고딕" w:hAnsi="맑은 고딕" w:eastAsia="맑은 고딕" w:cs="맑은 고딕"/>
          <w:b/>
          <w:color w:val="000000"/>
          <w:sz w:val="30"/>
        </w:rPr>
        <w:t>매립지가 어느 지자체에 속할지는 행정안전부장관의 재량입니다</w:t>
      </w:r>
    </w:p>
    <w:p>
      <w:pPr>
        <w:pStyle w:val="law1"/>
        <w:autoSpaceDE w:val="0"/>
        <w:autoSpaceDN w:val="0"/>
        <w:spacing w:after="160"/>
      </w:pPr>
      <w:r>
        <w:rPr>
          <w:rFonts w:ascii="맑은 고딕" w:hAnsi="맑은 고딕" w:eastAsia="맑은 고딕" w:cs="맑은 고딕"/>
          <w:color w:val="000000"/>
        </w:rPr>
        <w:t>대법원 2016추5025 (2020.12.24 선고)</w:t>
      </w:r>
    </w:p>
    <w:p>
      <w:pPr>
        <w:autoSpaceDE w:val="0"/>
        <w:autoSpaceDN w:val="0"/>
        <w:spacing w:after="120"/>
      </w:pPr>
      <w:r>
        <w:rPr>
          <w:rFonts w:ascii="맑은 고딕" w:hAnsi="맑은 고딕" w:eastAsia="맑은 고딕" w:cs="맑은 고딕"/>
          <w:color w:val="000000"/>
        </w:rPr>
        <w:t>○ 매립지 관할 귀속을 정하는 행정안전부장관과 소속 위원회의 결정에 재량이 인정되는지가 문제된 사건입니다. 대법원은 폭넓은 형성의 재량이 인정되며, 실체적 기준을 구체적으로 정하지 않은 것도 위헌이 아니라고 보았습니다.</w:t>
      </w:r>
    </w:p>
    <w:p>
      <w:pPr>
        <w:autoSpaceDE w:val="0"/>
        <w:autoSpaceDN w:val="0"/>
      </w:pPr>
    </w:p>
    <w:p>
      <w:pPr>
        <w:autoSpaceDE w:val="0"/>
        <w:autoSpaceDN w:val="0"/>
      </w:pP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9026"/>
      </w:tblGrid>
      <w:tr>
        <w:tc>
          <w:tcPr>
            <w:tcW w:type="pct" w:w="50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21"/>
              </w:rPr>
              <w:t>※ 간단요약</w:t>
            </w:r>
          </w:p>
        </w:tc>
      </w:tr>
      <w:tr>
        <w:tc>
          <w:tcPr>
            <w:tcW w:type="pct" w:w="5000"/>
            <w:shd w:val="clear" w:color="auto" w:fill="F7F7F7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매립지가 속할 지방자치단체를 정할 때 행정안전부장관에게 재량이 있나요?</w:t>
            </w:r>
          </w:p>
          <w:p>
            <w:pPr>
              <w:autoSpaceDE w:val="0"/>
              <w:autoSpaceDN w:val="0"/>
            </w:pP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A. 네. 폭넓은 형성의 재량이 인정되며, 다만 관련 이익을 형량하는 재량의 한계는 지켜야 합니다.</w:t>
            </w:r>
          </w:p>
        </w:tc>
      </w:tr>
    </w:tbl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1. 사건 개요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2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사건번호</w:t>
            </w:r>
          </w:p>
        </w:tc>
        <w:tc>
          <w:tcPr>
            <w:tcW w:type="pct" w:w="38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2016추5025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선고일자</w:t>
            </w:r>
          </w:p>
        </w:tc>
        <w:tc>
          <w:tcPr>
            <w:tcW w:type="pct" w:w="38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2020.12.24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법원</w:t>
            </w:r>
          </w:p>
        </w:tc>
        <w:tc>
          <w:tcPr>
            <w:tcW w:type="pct" w:w="38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대법원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당사자</w:t>
            </w:r>
          </w:p>
        </w:tc>
        <w:tc>
          <w:tcPr>
            <w:tcW w:type="pct" w:w="38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원고 인천광역시 남동구청장 · 피고 행정안전부장관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E w:val="0"/>
              <w:autoSpaceDN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사건종류</w:t>
            </w:r>
          </w:p>
        </w:tc>
        <w:tc>
          <w:tcPr>
            <w:tcW w:type="pct" w:w="3800"/>
          </w:tcPr>
          <w:p>
            <w:pPr>
              <w:autoSpaceDE w:val="0"/>
              <w:autoSpaceDN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일반행정 (인천송도10공구매립지일부구간귀속지방자치단체결정취소)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E w:val="0"/>
              <w:autoSpaceDN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결과</w:t>
            </w:r>
          </w:p>
        </w:tc>
        <w:tc>
          <w:tcPr>
            <w:tcW w:type="pct" w:w="3800"/>
          </w:tcPr>
          <w:p>
            <w:pPr>
              <w:autoSpaceDE w:val="0"/>
              <w:autoSpaceDN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청구기각 (대법원 단심)</w:t>
            </w:r>
          </w:p>
        </w:tc>
      </w:tr>
    </w:tbl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2. 쟁점</w:t>
      </w:r>
    </w:p>
    <w:p>
      <w:pPr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[1] 지방자치법 제4조 제3항부터 제7항에서 행정안전부장관 및 소속 위원회의 매립지 관할 귀속에 관한 의결ㆍ결정의 실체적 결정기준이나 고려요소를 구체적으로 규정하지 않은 것이 헌법상 보장된 지방자치제도의 본질을 침해하거나 포괄위임금지원칙에 반하는지 여부(소극)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[2] 행정안전부장관 및 소속 위원회가 매립지가 속할 지방자치단체를 정할 때 폭넓은 형성의 재량을 가지는지 여부(적극) 및 그 재량의 한계 / 행정안전부장관 및 소속 위원회가 매립지가 속할 지방자치단체를 결정할 때 고려할 사항</w:t>
      </w:r>
    </w:p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3. 판단</w:t>
      </w:r>
    </w:p>
    <w:p>
      <w:pPr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① 관련 법리 4. 1. 법률 제9577호로 지방자치법 제4조를 개정하여 행정안전부장관이 매립지가 속할 지방자치단체를 결정하는 제도를 신설한 입법 취지에 비추어 보면, 종래 매립지의 관할 귀속에 관하여 ‘해상경계선 기준’이 가지던 관습법적 효력은 위 지방자치법 개정으로 제한되었으며, 행정안전부장관 및 그 소속 위원회는 매립지가 속할 지방자치단체를 정할 때 폭넓은 형성의 재량을 가진다고 보아야 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② 다만 그 형성의 재량은 무제한적인 것이 아니라, 관련되는 제반 이익을 종합적으로 고려하여 비교ㆍ형량하여야 하는 제한이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③ 행정안전부장관 및 그 소속 위원회가 그러한 이익형량을 전혀 하지 않았거나 이익형량의 고려대상에 마땅히 포함시켜야 할 사항을 누락한 경우 또는 이익형량을 하였으나 정당성ㆍ객관성이 결여된 경우에는 그 관할 귀속 결정은 재량권을 일탈ㆍ남용한 것으로 위법하다고 보아야 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④ 위와 같은 지방자치법의 개정 취지 등을 고려하면, 행정안전부장관 및 그 소속 위원회가 매립지가 속할 지방자치단체를 결정할 때에는 일반적으로 다음과 같은 사항을 포함하여 고려하여야 한다(대법원 2013. 11. 14. 선고 2010추73 판결 참조). ① 매립지 내 각 지역의 세부 토지이용계획 및 인접 지역과의 유기적 이용관계 등을 고려하여 관할구역을 결정하여 효율적인 신규토지의 이용이 가능하도록 하여야 한다. ② 공유수면이 매립되어 육지화된 이상 더는 해상경계선만을 기준으로 관할 귀속 결정을 할 것은 아니고, 매립지와 인근 지방자치단체 관할구역의 연결 형상, 연접관계 및 거리, 관할의 경계로 쉽게 인식될 수 있는 도로, 하천, 운하 등 자연지형 및 인공구조물의 위치 등을 고려하여 매립지가 토지로 이용되는 상황을 전제로 합리적인 관할구역 경계를 설정하여야 한다. ③ 매립지와 인근 지방자치단체의 연접관계 및 거리, 도로, 항만, 전기, 수도, 통신 등 기반시설의 설치ㆍ관리, 행정서비스의 신속한 제공, 긴급상황 시 대처능력 등 여러 요소를 고려하여 행정의 효율성이 현저히 저해되지 않아야 한다. ④ 매립지와 인근 지방자치단체의 교통관계, 외부로부터의 접근성 등을 고려하여 매립지 거주 주민들의 입장에서 어느 지방자치단체의 관할구역에 편입되는 것이 주거생활 및 생업에 편리할 것인지를 고려하여야 한다. ⑤ 매립공사의 시행으로 인근 지방자치단체와 주민들이 인접 공유수면을 상실하게 되므로 이로 인하여 잃게 되는 지방자치단체들의 해양 접근성에 대한 연혁적ㆍ현실적 이익 및 그 주민들의 생활기반과 경제적 이익을 감안하여야 한다. ⑥ 하나의 계획으로 전체적인 매립사업계획이 수립되고 그 구도하에서 사업내용이나 지구별로 단계적ㆍ순차적으로 진행되는 매립사업에서는 매립이 완료된 부분에 대한 행정적 지원의 필요 등으로 전체 매립대상지역이 아니라 매립이 완료된 일부 지역에 대한 관할 귀속 결정을 먼저 할 수밖에 없는 경우에도 그 부분의 관할 귀속 결정은 나머지 매립 예정 지역의 관할 결정에도 상당한 영향을 미칠 수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⑤ 따라서 일부 구역에 대해서만 관할 귀속 결정을 할 경우에도 해당 매립사업의 전체적 추진계획, 매립지의 구역별 토지이용계획 및 용도, 항만의 조성과 이용계획 등을 종합적으로 고려하여 매립예정지역의 전체적인 관할 구도의 틀을 감안한 관할 귀속 결정이 이루어지도록 하여야 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⑥ 만일 전체적인 관할 구도에 비추어 부적절한 관할 귀속 결정이 부분적으로 이루어지게 되면, 해당 매립사업의 전체적 추진계획 및 매립지의 세부 토지이용계획 등이 반영되지 못하게 될 위험이 있을 뿐만 아니라, 관할 귀속 결정이 이루어질 때마다 지방자치단체 사이에 분쟁이 생길 수 있고, 이로 인하여 국가 및 그 지역사회 차원에서 사회적ㆍ경제적 비용이 늘어나게 되며, 사회통합에도 장애가 되어 바람직하지 못하다.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⑦ 게다가 특정 매립완료지역에 대하여 일단 분리 결정이 되면 그 부분의 관할권을 가지게 된 지방자치단체의 기득권처럼 치부되어 각 단계마다 새로이 이해관계 조정이 이루어지게 됨으로써 전체적인 이익형량을 그르치거나 불필요한 소모적 다툼이 연장될 우려도 배제할 수 없다.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⑧ 이와 같은 제반 사정에 비추어 매립대상지역 중 완공이 된 일부 지역에 대하여 관할 귀속 결정을 할 경우에도 전체 매립대상지역의 관할 구분 구도에 어긋나지 않게 관할 귀속 결정이 이루어져야 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⑨ 판단 갑 제1, 2호증, 갑 제4호증의 3, 을 제2호증의 1~10, 을나 제1, 3, 5호증, 을나 제6호증의 1, 2, 을나 제8호증, 을나 제9호증의 1, 2의 각 기재와 변론 전체의 취지를 종합하여 인정되는 아래 사정들을 앞서 본 법리에 비추어 살펴보면, 피고가 이 사건 결정을 하면서 관련된 제반 이익의 비교ㆍ형량을 전혀 하지 않았거나 이익형량의 고려대상에 마땅히 포함시켜야 할 사항을 누락한 경우 또는 이익형량을 하였으나 정당성ㆍ객관성이 결여된 경우에 해당한다고 보기 어려우므로, 이 사건 결정이 재량권을 일탈ㆍ남용한 위법한 처분이라고 할 수 없다. ① 인천경제자유구역 송도국제도시 개발계획에 의하면, 송도국제도시는 인천광역시 연수구 송도동 7 일원에 전략적인 클러스터 개념을 도입해 첨단산업클러스터(5, 7, 11공구), 송도랜드마크시티(6, 8공구), 물류단지(9, 10공구) 등을 조성하여 기술, 인력, 기업, 금융, 물류 등이 집적할 수 있는 특구를 조성하는 것을 목 …</w:t>
      </w:r>
    </w:p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4. 적용 법령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5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조항</w:t>
            </w:r>
          </w:p>
        </w:tc>
        <w:tc>
          <w:tcPr>
            <w:tcW w:type="pct" w:w="35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적용 문구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헌법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제117조</w:t>
            </w:r>
          </w:p>
        </w:tc>
        <w:tc>
          <w:tcPr>
            <w:tcW w:type="pct" w:w="35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헌법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제118조 제1항</w:t>
            </w:r>
          </w:p>
        </w:tc>
        <w:tc>
          <w:tcPr>
            <w:tcW w:type="pct" w:w="35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헌법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제120조 제2항</w:t>
            </w:r>
          </w:p>
        </w:tc>
        <w:tc>
          <w:tcPr>
            <w:tcW w:type="pct" w:w="35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헌법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제122조</w:t>
            </w:r>
          </w:p>
        </w:tc>
        <w:tc>
          <w:tcPr>
            <w:tcW w:type="pct" w:w="35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헌법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제123조 제2항</w:t>
            </w:r>
          </w:p>
        </w:tc>
        <w:tc>
          <w:tcPr>
            <w:tcW w:type="pct" w:w="35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지방자치법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제4조</w:t>
            </w:r>
          </w:p>
        </w:tc>
        <w:tc>
          <w:tcPr>
            <w:tcW w:type="pct" w:w="35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① 지방자치단체의 의회(이하 "지방의회"라 한다)와 집행기관에 관한 이 법의 규정에도 불구하고 따로 법률로 정하는 바에 따라 지방자치단체의 장의 선임방법을 포함한 지방자치단체의 기관구성 형태를 달리 할 수 있다. ② 제1항에 따라 지방의회와 집행기관의 구성을 달리하려는 경우에는 「주민투표법」에 따른 주민투표를 거쳐야 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지방자치법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제4조 제1항</w:t>
            </w:r>
          </w:p>
        </w:tc>
        <w:tc>
          <w:tcPr>
            <w:tcW w:type="pct" w:w="35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① 지방자치단체의 의회(이하 "지방의회"라 한다)와 집행기관에 관한 이 법의 규정에도 불구하고 따로 법률로 정하는 바에 따라 지방자치단체의 장의 선임방법을 포함한 지방자치단체의 기관구성 형태를 달리 할 수 있다.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지방자치법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제4조 제3항</w:t>
            </w:r>
          </w:p>
        </w:tc>
        <w:tc>
          <w:tcPr>
            <w:tcW w:type="pct" w:w="35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① 지방자치단체의 의회(이하 "지방의회"라 한다)와 집행기관에 관한 이 법의 규정에도 불구하고 따로 법률로 정하는 바에 따라 지방자치단체의 장의 선임방법을 포함한 지방자치단체의 기관구성 형태를 달리 할 수 있다. ② 제1항에 따라 지방의회와 집행기관의 구성을 달리하려는 경우에는 「주민투표법」에 따른 주민투표를 거쳐야 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행정소송법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제27조</w:t>
            </w:r>
          </w:p>
        </w:tc>
        <w:tc>
          <w:tcPr>
            <w:tcW w:type="pct" w:w="35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행정청의 재량에 속하는 처분이라도 재량권의 한계를 넘거나 그 남용이 있는 때에는 법원은 이를 취소할 수 있다.</w:t>
            </w:r>
          </w:p>
        </w:tc>
      </w:tr>
    </w:tbl>
    <w:p>
      <w:pPr>
        <w:pStyle w:val="note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※ ‘적용 문구’는 현행 조문을 요약한 것으로, 구법이 적용된 사건은 당시 조문과 다를 수 있습니다.</w:t>
      </w:r>
    </w:p>
    <w:p>
      <w:pPr>
        <w:pStyle w:val="note"/>
        <w:autoSpaceDE w:val="0"/>
        <w:autoSpaceDN w:val="0"/>
        <w:spacing w:before="120"/>
      </w:pPr>
      <w:r>
        <w:rPr>
          <w:rFonts w:ascii="맑은 고딕" w:hAnsi="맑은 고딕" w:eastAsia="맑은 고딕" w:cs="맑은 고딕"/>
          <w:color w:val="000000"/>
        </w:rPr>
        <w:t>※ 본 정리는 국가법령정보센터 판례를 정리한 참고자료이며, 구체적 사안은 판결 원문과 전문가 검토가 필요합니다.</w:t>
      </w:r>
    </w:p>
    <w:p>
      <w:pPr>
        <w:autoSpaceDE w:val="0"/>
        <w:autoSpaceDN w:val="0"/>
        <w:spacing w:before="120"/>
      </w:pPr>
      <w:r>
        <w:rPr>
          <w:rFonts w:ascii="맑은 고딕" w:hAnsi="맑은 고딕" w:eastAsia="맑은 고딕" w:cs="맑은 고딕"/>
          <w:color w:val="000000"/>
          <w:sz w:val="18"/>
        </w:rPr>
        <w:t>원문  https://www.law.go.kr/판례/(2016추5025)</w:t>
      </w:r>
    </w:p>
    <w:p>
      <w:pPr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  <w:sz w:val="18"/>
        </w:rPr>
        <w:t>태그  #폐기물판례 #매립시설 #행정판례 #대법원판례 #2020년판례 #2016추5025 #환경법 #환경인허가 #인허가서대리 #서대리</w:t>
      </w:r>
    </w:p>
    <w:p>
      <w:pPr>
        <w:pStyle w:val="mark"/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인허가 서대리  https://seodaeri.com/</w:t>
      </w:r>
    </w:p>
    <w:sectPr w:rsidR="00B27BFC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25019F" w14:textId="77777777" w:rsidR="00B27BFC" w:rsidRDefault="00B27BFC" w:rsidP="00F52617">
      <w:r>
        <w:separator/>
      </w:r>
    </w:p>
  </w:endnote>
  <w:endnote w:type="continuationSeparator" w:id="0">
    <w:p w14:paraId="7974C6BA" w14:textId="77777777" w:rsidR="00B27BFC" w:rsidRDefault="00B27BFC" w:rsidP="00F526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CAD215" w14:textId="77777777" w:rsidR="00B27BFC" w:rsidRDefault="00B27BFC" w:rsidP="00F52617">
      <w:r>
        <w:separator/>
      </w:r>
    </w:p>
  </w:footnote>
  <w:footnote w:type="continuationSeparator" w:id="0">
    <w:p w14:paraId="7300C114" w14:textId="77777777" w:rsidR="00B27BFC" w:rsidRDefault="00B27BFC" w:rsidP="00F5261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EB13F6"/>
    <w:multiLevelType w:val="multilevel"/>
    <w:tmpl w:val="EF2AA2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D8A3F22"/>
    <w:multiLevelType w:val="multilevel"/>
    <w:tmpl w:val="801AD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0AF3513"/>
    <w:multiLevelType w:val="multilevel"/>
    <w:tmpl w:val="A90A5B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B35387B"/>
    <w:multiLevelType w:val="multilevel"/>
    <w:tmpl w:val="0E32E4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02799665">
    <w:abstractNumId w:val="2"/>
  </w:num>
  <w:num w:numId="2" w16cid:durableId="1051461951">
    <w:abstractNumId w:val="0"/>
  </w:num>
  <w:num w:numId="3" w16cid:durableId="1212620573">
    <w:abstractNumId w:val="3"/>
  </w:num>
  <w:num w:numId="4" w16cid:durableId="6274003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0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2617"/>
    <w:rsid w:val="00A42A17"/>
    <w:rsid w:val="00B27BFC"/>
    <w:rsid w:val="00F526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DF796CA"/>
  <w15:chartTrackingRefBased/>
  <w15:docId w15:val="{AB8F6F78-766D-4920-A396-8027FE2C1B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굴림" w:eastAsia="굴림" w:hAnsi="굴림" w:cs="굴림"/>
      <w:sz w:val="24"/>
      <w:szCs w:val="24"/>
    </w:rPr>
  </w:style>
  <w:style w:type="paragraph" w:styleId="1">
    <w:name w:val="heading 1"/>
    <w:basedOn w:val="a"/>
    <w:link w:val="1Char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Char"/>
    <w:uiPriority w:val="9"/>
    <w:qFormat/>
    <w:pPr>
      <w:spacing w:before="450" w:after="150"/>
      <w:outlineLvl w:val="1"/>
    </w:pPr>
    <w:rPr>
      <w:b/>
      <w:bCs/>
      <w:sz w:val="23"/>
      <w:szCs w:val="23"/>
    </w:rPr>
  </w:style>
  <w:style w:type="paragraph" w:styleId="3">
    <w:name w:val="heading 3"/>
    <w:basedOn w:val="a"/>
    <w:link w:val="3Char"/>
    <w:uiPriority w:val="9"/>
    <w:qFormat/>
    <w:pPr>
      <w:spacing w:before="165" w:after="75"/>
      <w:outlineLvl w:val="2"/>
    </w:pPr>
    <w:rPr>
      <w:b/>
      <w:bCs/>
      <w:sz w:val="20"/>
      <w:szCs w:val="20"/>
    </w:rPr>
  </w:style>
  <w:style w:type="paragraph" w:styleId="4">
    <w:name w:val="heading 4"/>
    <w:basedOn w:val="a"/>
    <w:link w:val="4Char"/>
    <w:uiPriority w:val="9"/>
    <w:qFormat/>
    <w:pPr>
      <w:spacing w:before="210" w:after="75"/>
      <w:outlineLvl w:val="3"/>
    </w:pPr>
    <w:rPr>
      <w:b/>
      <w:bCs/>
      <w:sz w:val="19"/>
      <w:szCs w:val="1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styleId="a3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paragraph" w:customStyle="1" w:styleId="page">
    <w:name w:val="page"/>
    <w:basedOn w:val="a"/>
    <w:pPr>
      <w:shd w:val="clear" w:color="auto" w:fill="FFFFFF"/>
    </w:pPr>
  </w:style>
  <w:style w:type="paragraph" w:customStyle="1" w:styleId="toolbar">
    <w:name w:val="toolbar"/>
    <w:basedOn w:val="a"/>
    <w:pPr>
      <w:jc w:val="right"/>
    </w:pPr>
    <w:rPr>
      <w:vanish/>
    </w:rPr>
  </w:style>
  <w:style w:type="paragraph" w:customStyle="1" w:styleId="btn">
    <w:name w:val="btn"/>
    <w:basedOn w:val="a"/>
    <w:pPr>
      <w:pBdr>
        <w:top w:val="single" w:sz="6" w:space="4" w:color="999999"/>
        <w:left w:val="single" w:sz="6" w:space="11" w:color="999999"/>
        <w:bottom w:val="single" w:sz="6" w:space="4" w:color="999999"/>
        <w:right w:val="single" w:sz="6" w:space="11" w:color="999999"/>
      </w:pBdr>
      <w:shd w:val="clear" w:color="auto" w:fill="FFFFFF"/>
      <w:spacing w:before="100" w:beforeAutospacing="1" w:after="100" w:afterAutospacing="1"/>
    </w:pPr>
    <w:rPr>
      <w:color w:val="333333"/>
      <w:sz w:val="18"/>
      <w:szCs w:val="18"/>
    </w:rPr>
  </w:style>
  <w:style w:type="paragraph" w:customStyle="1" w:styleId="doc-head">
    <w:name w:val="doc-head"/>
    <w:basedOn w:val="a"/>
    <w:pPr>
      <w:spacing w:before="100" w:beforeAutospacing="1" w:after="270"/>
      <w:jc w:val="center"/>
    </w:pPr>
  </w:style>
  <w:style w:type="paragraph" w:customStyle="1" w:styleId="bt">
    <w:name w:val="bt"/>
    <w:basedOn w:val="a"/>
    <w:pPr>
      <w:spacing w:before="75" w:after="45"/>
    </w:pPr>
    <w:rPr>
      <w:sz w:val="19"/>
      <w:szCs w:val="19"/>
    </w:rPr>
  </w:style>
  <w:style w:type="paragraph" w:customStyle="1" w:styleId="law-box">
    <w:name w:val="law-box"/>
    <w:basedOn w:val="a"/>
    <w:pPr>
      <w:shd w:val="clear" w:color="auto" w:fill="FBFBFB"/>
      <w:spacing w:before="120" w:after="60"/>
    </w:pPr>
  </w:style>
  <w:style w:type="paragraph" w:customStyle="1" w:styleId="note">
    <w:name w:val="note"/>
    <w:basedOn w:val="a"/>
    <w:pPr>
      <w:spacing w:before="105"/>
      <w:ind w:hanging="225"/>
    </w:pPr>
    <w:rPr>
      <w:b/>
      <w:bCs/>
      <w:sz w:val="19"/>
      <w:szCs w:val="19"/>
    </w:rPr>
  </w:style>
  <w:style w:type="paragraph" w:customStyle="1" w:styleId="src">
    <w:name w:val="src"/>
    <w:basedOn w:val="a"/>
    <w:pPr>
      <w:spacing w:before="90"/>
    </w:pPr>
    <w:rPr>
      <w:sz w:val="17"/>
      <w:szCs w:val="17"/>
    </w:rPr>
  </w:style>
  <w:style w:type="paragraph" w:customStyle="1" w:styleId="mark">
    <w:name w:val="mark"/>
    <w:basedOn w:val="a"/>
    <w:pPr>
      <w:spacing w:before="90"/>
      <w:jc w:val="right"/>
    </w:pPr>
    <w:rPr>
      <w:b/>
      <w:bCs/>
      <w:color w:val="9A9A9A"/>
      <w:spacing w:val="3"/>
      <w:sz w:val="17"/>
      <w:szCs w:val="17"/>
    </w:rPr>
  </w:style>
  <w:style w:type="paragraph" w:customStyle="1" w:styleId="runfoot">
    <w:name w:val="runfoot"/>
    <w:basedOn w:val="a"/>
    <w:pPr>
      <w:spacing w:before="240" w:after="100" w:afterAutospacing="1"/>
    </w:pPr>
    <w:rPr>
      <w:b/>
      <w:bCs/>
      <w:color w:val="666666"/>
      <w:sz w:val="17"/>
      <w:szCs w:val="17"/>
    </w:rPr>
  </w:style>
  <w:style w:type="paragraph" w:customStyle="1" w:styleId="sm">
    <w:name w:val="sm"/>
    <w:basedOn w:val="a"/>
    <w:pPr>
      <w:spacing w:before="100" w:beforeAutospacing="1" w:after="100" w:afterAutospacing="1"/>
    </w:pPr>
  </w:style>
  <w:style w:type="paragraph" w:customStyle="1" w:styleId="law">
    <w:name w:val="law"/>
    <w:basedOn w:val="a"/>
    <w:pPr>
      <w:spacing w:before="100" w:beforeAutospacing="1" w:after="100" w:afterAutospacing="1"/>
    </w:pPr>
  </w:style>
  <w:style w:type="paragraph" w:customStyle="1" w:styleId="rule">
    <w:name w:val="rule"/>
    <w:basedOn w:val="a"/>
    <w:pPr>
      <w:spacing w:before="100" w:beforeAutospacing="1" w:after="100" w:afterAutospacing="1"/>
    </w:pPr>
  </w:style>
  <w:style w:type="paragraph" w:customStyle="1" w:styleId="sep">
    <w:name w:val="sep"/>
    <w:basedOn w:val="a"/>
    <w:pPr>
      <w:spacing w:before="100" w:beforeAutospacing="1" w:after="100" w:afterAutospacing="1"/>
    </w:pPr>
  </w:style>
  <w:style w:type="paragraph" w:customStyle="1" w:styleId="grp">
    <w:name w:val="grp"/>
    <w:basedOn w:val="a"/>
    <w:pPr>
      <w:spacing w:before="100" w:beforeAutospacing="1" w:after="100" w:afterAutospacing="1"/>
    </w:pPr>
  </w:style>
  <w:style w:type="paragraph" w:customStyle="1" w:styleId="v">
    <w:name w:val="v"/>
    <w:basedOn w:val="a"/>
    <w:pPr>
      <w:spacing w:before="100" w:beforeAutospacing="1" w:after="100" w:afterAutospacing="1"/>
    </w:pPr>
  </w:style>
  <w:style w:type="paragraph" w:customStyle="1" w:styleId="ctr">
    <w:name w:val="ctr"/>
    <w:basedOn w:val="a"/>
    <w:pPr>
      <w:spacing w:before="100" w:beforeAutospacing="1" w:after="100" w:afterAutospacing="1"/>
    </w:pPr>
  </w:style>
  <w:style w:type="paragraph" w:customStyle="1" w:styleId="key">
    <w:name w:val="key"/>
    <w:basedOn w:val="a"/>
    <w:pPr>
      <w:spacing w:before="100" w:beforeAutospacing="1" w:after="100" w:afterAutospacing="1"/>
    </w:pPr>
  </w:style>
  <w:style w:type="paragraph" w:customStyle="1" w:styleId="lw">
    <w:name w:val="lw"/>
    <w:basedOn w:val="a"/>
    <w:pPr>
      <w:spacing w:before="100" w:beforeAutospacing="1" w:after="100" w:afterAutospacing="1"/>
    </w:pPr>
  </w:style>
  <w:style w:type="paragraph" w:customStyle="1" w:styleId="na">
    <w:name w:val="na"/>
    <w:basedOn w:val="a"/>
    <w:pPr>
      <w:spacing w:before="100" w:beforeAutospacing="1" w:after="100" w:afterAutospacing="1"/>
    </w:pPr>
  </w:style>
  <w:style w:type="paragraph" w:customStyle="1" w:styleId="cite">
    <w:name w:val="cite"/>
    <w:basedOn w:val="a"/>
    <w:pPr>
      <w:spacing w:before="100" w:beforeAutospacing="1" w:after="100" w:afterAutospacing="1"/>
    </w:pPr>
  </w:style>
  <w:style w:type="paragraph" w:customStyle="1" w:styleId="body">
    <w:name w:val="body"/>
    <w:basedOn w:val="a"/>
    <w:pPr>
      <w:spacing w:before="100" w:beforeAutospacing="1" w:after="100" w:afterAutospacing="1"/>
    </w:pPr>
  </w:style>
  <w:style w:type="paragraph" w:customStyle="1" w:styleId="u">
    <w:name w:val="u"/>
    <w:basedOn w:val="a"/>
    <w:pPr>
      <w:spacing w:before="100" w:beforeAutospacing="1" w:after="100" w:afterAutospacing="1"/>
    </w:pPr>
  </w:style>
  <w:style w:type="paragraph" w:customStyle="1" w:styleId="brand">
    <w:name w:val="brand"/>
    <w:basedOn w:val="a"/>
    <w:pPr>
      <w:spacing w:before="100" w:beforeAutospacing="1" w:after="100" w:afterAutospacing="1"/>
    </w:pPr>
  </w:style>
  <w:style w:type="paragraph" w:customStyle="1" w:styleId="url">
    <w:name w:val="url"/>
    <w:basedOn w:val="a"/>
    <w:pPr>
      <w:spacing w:before="100" w:beforeAutospacing="1" w:after="100" w:afterAutospacing="1"/>
    </w:pPr>
  </w:style>
  <w:style w:type="paragraph" w:customStyle="1" w:styleId="ho">
    <w:name w:val="ho"/>
    <w:basedOn w:val="a"/>
    <w:pPr>
      <w:spacing w:before="100" w:beforeAutospacing="1" w:after="100" w:afterAutospacing="1"/>
    </w:pPr>
  </w:style>
  <w:style w:type="paragraph" w:customStyle="1" w:styleId="mok">
    <w:name w:val="mok"/>
    <w:basedOn w:val="a"/>
    <w:pPr>
      <w:spacing w:before="100" w:beforeAutospacing="1" w:after="100" w:afterAutospacing="1"/>
    </w:pPr>
  </w:style>
  <w:style w:type="paragraph" w:customStyle="1" w:styleId="amend">
    <w:name w:val="amend"/>
    <w:basedOn w:val="a"/>
    <w:pPr>
      <w:spacing w:before="100" w:beforeAutospacing="1" w:after="100" w:afterAutospacing="1"/>
    </w:pPr>
  </w:style>
  <w:style w:type="paragraph" w:customStyle="1" w:styleId="bigo-t">
    <w:name w:val="bigo-t"/>
    <w:basedOn w:val="a"/>
    <w:pPr>
      <w:spacing w:before="100" w:beforeAutospacing="1" w:after="100" w:afterAutospacing="1"/>
    </w:pPr>
  </w:style>
  <w:style w:type="paragraph" w:customStyle="1" w:styleId="eq">
    <w:name w:val="eq"/>
    <w:basedOn w:val="a"/>
    <w:pPr>
      <w:spacing w:before="100" w:beforeAutospacing="1" w:after="100" w:afterAutospacing="1"/>
    </w:pPr>
  </w:style>
  <w:style w:type="paragraph" w:customStyle="1" w:styleId="law1">
    <w:name w:val="law1"/>
    <w:basedOn w:val="a"/>
    <w:pPr>
      <w:spacing w:after="180"/>
    </w:pPr>
    <w:rPr>
      <w:sz w:val="19"/>
      <w:szCs w:val="19"/>
    </w:rPr>
  </w:style>
  <w:style w:type="paragraph" w:customStyle="1" w:styleId="rule1">
    <w:name w:val="rule1"/>
    <w:basedOn w:val="a"/>
  </w:style>
  <w:style w:type="paragraph" w:customStyle="1" w:styleId="sm1">
    <w:name w:val="sm1"/>
    <w:basedOn w:val="a"/>
    <w:pPr>
      <w:spacing w:before="100" w:beforeAutospacing="1" w:after="100" w:afterAutospacing="1"/>
      <w:ind w:left="90"/>
    </w:pPr>
    <w:rPr>
      <w:sz w:val="17"/>
      <w:szCs w:val="17"/>
    </w:rPr>
  </w:style>
  <w:style w:type="paragraph" w:customStyle="1" w:styleId="sep1">
    <w:name w:val="sep1"/>
    <w:basedOn w:val="a"/>
    <w:pPr>
      <w:pBdr>
        <w:left w:val="single" w:sz="6" w:space="0" w:color="E0E0E0"/>
      </w:pBdr>
      <w:spacing w:before="100" w:beforeAutospacing="1" w:after="100" w:afterAutospacing="1"/>
    </w:pPr>
  </w:style>
  <w:style w:type="paragraph" w:customStyle="1" w:styleId="grp1">
    <w:name w:val="grp1"/>
    <w:basedOn w:val="a"/>
    <w:pPr>
      <w:shd w:val="clear" w:color="auto" w:fill="F5F5F5"/>
      <w:spacing w:before="100" w:beforeAutospacing="1" w:after="100" w:afterAutospacing="1"/>
      <w:jc w:val="center"/>
      <w:textAlignment w:val="center"/>
    </w:pPr>
    <w:rPr>
      <w:b/>
      <w:bCs/>
    </w:rPr>
  </w:style>
  <w:style w:type="paragraph" w:customStyle="1" w:styleId="v1">
    <w:name w:val="v1"/>
    <w:basedOn w:val="a"/>
    <w:pPr>
      <w:spacing w:before="100" w:beforeAutospacing="1" w:after="100" w:afterAutospacing="1"/>
      <w:textAlignment w:val="center"/>
    </w:pPr>
  </w:style>
  <w:style w:type="paragraph" w:customStyle="1" w:styleId="ctr1">
    <w:name w:val="ctr1"/>
    <w:basedOn w:val="a"/>
    <w:pPr>
      <w:spacing w:before="100" w:beforeAutospacing="1" w:after="100" w:afterAutospacing="1"/>
      <w:jc w:val="center"/>
    </w:pPr>
  </w:style>
  <w:style w:type="paragraph" w:customStyle="1" w:styleId="key1">
    <w:name w:val="key1"/>
    <w:basedOn w:val="a"/>
    <w:pPr>
      <w:spacing w:before="100" w:beforeAutospacing="1" w:after="100" w:afterAutospacing="1"/>
    </w:pPr>
    <w:rPr>
      <w:b/>
      <w:bCs/>
    </w:rPr>
  </w:style>
  <w:style w:type="paragraph" w:customStyle="1" w:styleId="lw1">
    <w:name w:val="lw1"/>
    <w:basedOn w:val="a"/>
    <w:pPr>
      <w:spacing w:before="100" w:beforeAutospacing="1" w:after="100" w:afterAutospacing="1"/>
      <w:ind w:left="60"/>
    </w:pPr>
    <w:rPr>
      <w:sz w:val="17"/>
      <w:szCs w:val="17"/>
    </w:rPr>
  </w:style>
  <w:style w:type="paragraph" w:customStyle="1" w:styleId="na1">
    <w:name w:val="na1"/>
    <w:basedOn w:val="a"/>
    <w:pPr>
      <w:spacing w:before="100" w:beforeAutospacing="1" w:after="100" w:afterAutospacing="1"/>
    </w:pPr>
    <w:rPr>
      <w:color w:val="8A8A8A"/>
    </w:rPr>
  </w:style>
  <w:style w:type="paragraph" w:customStyle="1" w:styleId="cite1">
    <w:name w:val="cite1"/>
    <w:basedOn w:val="a"/>
    <w:pPr>
      <w:spacing w:after="90"/>
    </w:pPr>
    <w:rPr>
      <w:b/>
      <w:bCs/>
      <w:sz w:val="17"/>
      <w:szCs w:val="17"/>
    </w:rPr>
  </w:style>
  <w:style w:type="paragraph" w:customStyle="1" w:styleId="body1">
    <w:name w:val="body1"/>
    <w:basedOn w:val="a"/>
    <w:pPr>
      <w:spacing w:before="100" w:beforeAutospacing="1" w:after="100" w:afterAutospacing="1"/>
    </w:pPr>
    <w:rPr>
      <w:color w:val="000000"/>
      <w:sz w:val="19"/>
      <w:szCs w:val="19"/>
    </w:rPr>
  </w:style>
  <w:style w:type="paragraph" w:customStyle="1" w:styleId="ho1">
    <w:name w:val="ho1"/>
    <w:basedOn w:val="a"/>
    <w:pPr>
      <w:spacing w:after="75"/>
    </w:pPr>
  </w:style>
  <w:style w:type="paragraph" w:customStyle="1" w:styleId="mok1">
    <w:name w:val="mok1"/>
    <w:basedOn w:val="a"/>
    <w:pPr>
      <w:spacing w:after="75"/>
    </w:pPr>
  </w:style>
  <w:style w:type="paragraph" w:customStyle="1" w:styleId="amend1">
    <w:name w:val="amend1"/>
    <w:basedOn w:val="a"/>
    <w:pPr>
      <w:spacing w:after="75"/>
    </w:pPr>
    <w:rPr>
      <w:sz w:val="16"/>
      <w:szCs w:val="16"/>
    </w:rPr>
  </w:style>
  <w:style w:type="paragraph" w:customStyle="1" w:styleId="bigo-t1">
    <w:name w:val="bigo-t1"/>
    <w:basedOn w:val="a"/>
    <w:pPr>
      <w:spacing w:before="120" w:after="45"/>
    </w:pPr>
    <w:rPr>
      <w:rFonts w:ascii="맑은 고딕" w:eastAsia="맑은 고딕" w:hAnsi="맑은 고딕"/>
      <w:b/>
      <w:bCs/>
      <w:sz w:val="17"/>
      <w:szCs w:val="17"/>
    </w:rPr>
  </w:style>
  <w:style w:type="paragraph" w:customStyle="1" w:styleId="eq1">
    <w:name w:val="eq1"/>
    <w:basedOn w:val="a"/>
    <w:pPr>
      <w:spacing w:before="75" w:after="75"/>
    </w:pPr>
  </w:style>
  <w:style w:type="paragraph" w:customStyle="1" w:styleId="u1">
    <w:name w:val="u1"/>
    <w:basedOn w:val="a"/>
    <w:pPr>
      <w:spacing w:before="100" w:beforeAutospacing="1" w:after="100" w:afterAutospacing="1"/>
      <w:ind w:left="60"/>
    </w:pPr>
    <w:rPr>
      <w:b/>
      <w:bCs/>
      <w:color w:val="B0B0B0"/>
    </w:rPr>
  </w:style>
  <w:style w:type="paragraph" w:customStyle="1" w:styleId="brand1">
    <w:name w:val="brand1"/>
    <w:basedOn w:val="a"/>
    <w:pPr>
      <w:spacing w:before="100" w:beforeAutospacing="1" w:after="100" w:afterAutospacing="1"/>
    </w:pPr>
    <w:rPr>
      <w:b/>
      <w:bCs/>
      <w:color w:val="555555"/>
    </w:rPr>
  </w:style>
  <w:style w:type="paragraph" w:customStyle="1" w:styleId="url1">
    <w:name w:val="url1"/>
    <w:basedOn w:val="a"/>
    <w:pPr>
      <w:spacing w:before="100" w:beforeAutospacing="1" w:after="100" w:afterAutospacing="1"/>
    </w:pPr>
    <w:rPr>
      <w:color w:val="777777"/>
    </w:rPr>
  </w:style>
  <w:style w:type="character" w:customStyle="1" w:styleId="amend2">
    <w:name w:val="amend2"/>
    <w:basedOn w:val="a0"/>
    <w:rPr>
      <w:sz w:val="16"/>
      <w:szCs w:val="16"/>
    </w:rPr>
  </w:style>
  <w:style w:type="paragraph" w:styleId="a4">
    <w:name w:val="header"/>
    <w:basedOn w:val="a"/>
    <w:link w:val="Char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F52617"/>
    <w:rPr>
      <w:rFonts w:ascii="굴림" w:eastAsia="굴림" w:hAnsi="굴림" w:cs="굴림"/>
      <w:sz w:val="24"/>
      <w:szCs w:val="24"/>
    </w:rPr>
  </w:style>
  <w:style w:type="paragraph" w:styleId="a5">
    <w:name w:val="footer"/>
    <w:basedOn w:val="a"/>
    <w:link w:val="Char0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F52617"/>
    <w:rPr>
      <w:rFonts w:ascii="굴림" w:eastAsia="굴림" w:hAnsi="굴림" w:cs="굴림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8573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19238">
          <w:marLeft w:val="0"/>
          <w:marRight w:val="0"/>
          <w:marTop w:val="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7096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36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86821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33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46457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49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509516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57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9496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80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124277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2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37327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70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533963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47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7576728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85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7018404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11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54610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85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38910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1344</Words>
  <Characters>7661</Characters>
  <Application>Microsoft Office Word</Application>
  <DocSecurity>4</DocSecurity>
  <Lines>63</Lines>
  <Paragraphs>17</Paragraphs>
  <ScaleCrop>false</ScaleCrop>
  <Company/>
  <LinksUpToDate>false</LinksUpToDate>
  <CharactersWithSpaces>8988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환경기술인 보유 자격기준 및 법적 근거</dc:title>
  <dc:subject/>
  <dc:creator>GWANGSIK JO</dc:creator>
  <cp:keywords/>
  <dc:description/>
  <cp:lastModifiedBy>GWANGSIK JO</cp:lastModifiedBy>
  <cp:revision>2</cp:revision>
  <dcterms:created xsi:type="dcterms:W3CDTF">2026-07-31T02:26:00Z</dcterms:created>
  <dcterms:modified xsi:type="dcterms:W3CDTF">2026-07-31T02:26:00Z</dcterms:modified>
</cp:coreProperties>
</file>