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폐기물처리업을 양수·승계한 자는 ‘거짓 허가’ 죄로 처벌할 수 없습니다</w:t>
      </w:r>
    </w:p>
    <w:p>
      <w:pPr>
        <w:pStyle w:val="law1"/>
        <w:autoSpaceDE w:val="0"/>
        <w:autoSpaceDN w:val="0"/>
        <w:spacing w:after="160"/>
      </w:pPr>
      <w:r>
        <w:rPr>
          <w:rFonts w:ascii="맑은 고딕" w:hAnsi="맑은 고딕" w:eastAsia="맑은 고딕" w:cs="맑은 고딕"/>
          <w:color w:val="000000"/>
        </w:rPr>
        <w:t>대법원 2019도3653 (2019.08.14 선고)</w:t>
      </w:r>
    </w:p>
    <w:p>
      <w:pPr>
        <w:autoSpaceDE w:val="0"/>
        <w:autoSpaceDN w:val="0"/>
        <w:spacing w:after="120"/>
      </w:pPr>
      <w:r>
        <w:rPr>
          <w:rFonts w:ascii="맑은 고딕" w:hAnsi="맑은 고딕" w:eastAsia="맑은 고딕" w:cs="맑은 고딕"/>
          <w:color w:val="000000"/>
        </w:rPr>
        <w:t>○ ‘거짓이나 부정한 방법으로 폐기물처리업 허가를 받은 자’에 기존 업을 양수하여 승계신고한 자가 포함되는지가 문제된 사건입니다. 대법원은 신규 취득자만 해당하고 승계신고자는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기존 폐기물처리업을 양수해 승계신고한 자도 ‘거짓 허가’ 처벌 대상인가요?</w:t>
            </w:r>
          </w:p>
          <w:p>
            <w:pPr>
              <w:autoSpaceDE w:val="0"/>
              <w:autoSpaceDN w:val="0"/>
            </w:pPr>
            <w:r>
              <w:rPr>
                <w:rFonts w:ascii="맑은 고딕" w:hAnsi="맑은 고딕" w:eastAsia="맑은 고딕" w:cs="맑은 고딕"/>
                <w:b w:val="0"/>
                <w:color w:val="000000"/>
                <w:sz w:val="19"/>
              </w:rPr>
              <w:t>A. 아니요. 이 죄는 허가를 신규 취득하는 과정에서 부정한 방법을 쓴 자만을 가리키고, 기존 업을 양수하여 승계신고한 자는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2019도3653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2019.08.14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(폐기물관리법위반·국가기술자격법위반·사기)</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의정부지법 2018노371, 764, 2445 (2019. 2. 15.)</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일부 파기환송 · 나머지 상고기각</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2015. 10. 1.경부터 2015. 10. 2.경까지 폐기물관리법 위반의 점에 대하여 범죄의 증명이 없다고 보아, 이를 유죄로 판단한 제1심판결을 파기하고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② 원심판결 이유를 기록에 비추어 살펴보면,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③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②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③ 그럼에도 원심은 그 판시와 같은 이유를 들어 폐기물관리법 제25조 제3항의 폐기물처리업 허가를 받은 자에 그 권리·의무를 승계한 양수인도 포함된다고 보아 피고인의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④ 이러한 원심의 판단에는 폐기물관리법 제64조 제6호의 해석에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⑥ 나머지 상고이유에 관하여 원심은 그 판시와 같은 이유를 들어 피고인에 대한 공소사실 중 국가기술자격법 위반의 점, 지정된 장소 이외의 곳에 사업장폐기물을 버린 행위로 인한 폐기물관리법 위반의 점을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⑦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t>⑧ 파기의 범위 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color w:val="000000"/>
        </w:rPr>
        <w:t>② [2]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제6호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https://www.law.go.kr/판례/(2019도3653)</w:t>
      </w:r>
    </w:p>
    <w:p>
      <w:pPr>
        <w:autoSpaceDE w:val="0"/>
        <w:autoSpaceDN w:val="0"/>
        <w:spacing w:before="8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