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불법 매립으로 받은 돈, 몰수·추징하려면 ‘범죄로 취득’ 입증이 필요합니다</w:t>
      </w:r>
    </w:p>
    <w:p>
      <w:pPr>
        <w:pStyle w:val="law1"/>
        <w:autoSpaceDE w:val="0"/>
        <w:autoSpaceDN w:val="0"/>
        <w:spacing w:after="160"/>
      </w:pPr>
      <w:r>
        <w:rPr>
          <w:rFonts w:ascii="맑은 고딕" w:hAnsi="맑은 고딕" w:eastAsia="맑은 고딕" w:cs="맑은 고딕"/>
          <w:color w:val="000000"/>
        </w:rPr>
        <w:t>대법원 2020도10970 (2021.07.21 선고)</w:t>
      </w:r>
    </w:p>
    <w:p>
      <w:pPr>
        <w:autoSpaceDE w:val="0"/>
        <w:autoSpaceDN w:val="0"/>
        <w:spacing w:after="120"/>
      </w:pPr>
      <w:r>
        <w:rPr>
          <w:rFonts w:ascii="맑은 고딕" w:hAnsi="맑은 고딕" w:eastAsia="맑은 고딕" w:cs="맑은 고딕"/>
          <w:color w:val="000000"/>
        </w:rPr>
        <w:t>○ 불법 매립을 목적으로 폐기물을 받고 대가를 받았다는 사정만으로 그 돈을 몰수·추징할 수 있는지가 문제된 사건입니다. 대법원은 돈이 범죄행위로 취득된 것이라는 점이 입증되어야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불법 매립 목적으로 폐기물을 받고 받은 돈은 곧바로 몰수·추징 대상인가요?</w:t>
            </w:r>
          </w:p>
          <w:p>
            <w:pPr>
              <w:autoSpaceDE w:val="0"/>
              <w:autoSpaceDN w:val="0"/>
            </w:pPr>
            <w:r>
              <w:rPr>
                <w:rFonts w:ascii="맑은 고딕" w:hAnsi="맑은 고딕" w:eastAsia="맑은 고딕" w:cs="맑은 고딕"/>
                <w:b w:val="0"/>
                <w:color w:val="000000"/>
                <w:sz w:val="19"/>
              </w:rPr>
              <w:t>A. 아니요. 그 돈이 범죄행위로 인하여 취득된 것이라는 점, 즉 범죄를 전제로 수수되었다는 점이 인정되어야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2020도10970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(폐기물관리법위반)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인천지법 2019노4442 (2020. 7. 17.)</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형법 제48조에서 규정한 몰수ㆍ추징의 대상인 ‘범인이 범죄행위로 인하여 취득한 물건’에서 ‘취득’의 의미</w:t>
      </w:r>
      <w:r>
        <w:rPr>
          <w:rFonts w:ascii="맑은 고딕" w:hAnsi="맑은 고딕" w:eastAsia="맑은 고딕" w:cs="맑은 고딕"/>
          <w:color w:val="000000"/>
        </w:rPr>
        <w:br/>
      </w:r>
      <w:r>
        <w:rPr>
          <w:rFonts w:ascii="맑은 고딕" w:hAnsi="맑은 고딕" w:eastAsia="맑은 고딕" w:cs="맑은 고딕"/>
          <w:color w:val="000000"/>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등의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추징에 관한 법리오해 주장에 대하여 형벌법규의 해석은 엄격하여야 하고 명문규정의 의미를 피고인에게 불리한 방향으로 지나치게 확장해석하거나 유추해석하는 것은 죄형법정주의의 원칙에 어긋나는 것으로서 허용되지 아니한다(대법원 2002. 2. 8. 선고 2001도5410 판결). 형법 제48조가 규정하는 몰수ㆍ추징의 대상은 범인이 범죄행위로 인하여 취득한 물건을 뜻하고, 여기서 ‘취득’이란 해당 범죄행위로 인하여 결과적으로 이를 취득한 때를 말한다고 제한적으로 해석함이 타당하다(대법원 1979. 9. 25. 선고 79도1309 판결 등 참조). 원심에서 유죄로 인정된 피고인들의 범죄행위는 피고인들이 사업장폐기물배출업체로부터 인수받은 폐기물을 폐기물관리법에 따라 허가 또는 승인을 받거나 신고한 폐기물처리시설이 아닌 곳에 매립하였다는 점이다.</w:t>
      </w:r>
      <w:r>
        <w:rPr>
          <w:rFonts w:ascii="맑은 고딕" w:hAnsi="맑은 고딕" w:eastAsia="맑은 고딕" w:cs="맑은 고딕"/>
          <w:color w:val="000000"/>
        </w:rPr>
        <w:br/>
      </w:r>
      <w:r>
        <w:rPr>
          <w:rFonts w:ascii="맑은 고딕" w:hAnsi="맑은 고딕" w:eastAsia="맑은 고딕" w:cs="맑은 고딕"/>
          <w:color w:val="000000"/>
        </w:rPr>
        <w:t>③ 피고인들이 사업장폐기물배출업체로부터 받은 돈을 형법 제48조 소정의 몰수ㆍ추징의 대상으로 보기 위해서는 피고인들의 위와 같은 범죄행위로 인하여 취득하였다는 점이 인정되어야만 한다.</w:t>
      </w:r>
      <w:r>
        <w:rPr>
          <w:rFonts w:ascii="맑은 고딕" w:hAnsi="맑은 고딕" w:eastAsia="맑은 고딕" w:cs="맑은 고딕"/>
          <w:color w:val="000000"/>
        </w:rPr>
        <w:br/>
      </w:r>
      <w:r>
        <w:rPr>
          <w:rFonts w:ascii="맑은 고딕" w:hAnsi="맑은 고딕" w:eastAsia="맑은 고딕" w:cs="맑은 고딕"/>
          <w:color w:val="000000"/>
        </w:rPr>
        <w:t>④ 즉, 피고인들이 폐기물을 불법적으로 매립할 목적으로 사업장폐기물배출업체로부터 돈을 지급받고 폐기물을 인수하였다는 정도를 넘어 위 돈이 피고인들과 사업장폐기물배출업체 사이에 피고인들의 범죄행위를 전제로 수수되었다는 점이 인정되어야 한다.</w:t>
      </w:r>
      <w:r>
        <w:rPr>
          <w:rFonts w:ascii="맑은 고딕" w:hAnsi="맑은 고딕" w:eastAsia="맑은 고딕" w:cs="맑은 고딕"/>
          <w:color w:val="000000"/>
        </w:rPr>
        <w:br/>
      </w:r>
      <w:r>
        <w:rPr>
          <w:rFonts w:ascii="맑은 고딕" w:hAnsi="맑은 고딕" w:eastAsia="맑은 고딕" w:cs="맑은 고딕"/>
          <w:color w:val="000000"/>
        </w:rPr>
        <w:t>⑤ 이 사건에서 피고인들은 사업장폐기물배출업체로부터 정상적인 절차에 따라 폐기물이 처리되는 것을 전제로 돈을 받았다고 주장하였음에도 원심은 위와 같은 사정에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판단하였다.</w:t>
      </w:r>
      <w:r>
        <w:rPr>
          <w:rFonts w:ascii="맑은 고딕" w:hAnsi="맑은 고딕" w:eastAsia="맑은 고딕" w:cs="맑은 고딕"/>
          <w:color w:val="000000"/>
        </w:rPr>
        <w:br/>
      </w:r>
      <w:r>
        <w:rPr>
          <w:rFonts w:ascii="맑은 고딕" w:hAnsi="맑은 고딕" w:eastAsia="맑은 고딕" w:cs="맑은 고딕"/>
          <w:color w:val="000000"/>
        </w:rPr>
        <w:t>⑥ 이러한 원심판결에는 몰수ㆍ추징에 관한 법리를 오해하고 필요한 심리를 다하지 아니함으로써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① [1] 형법 제48조가 규정하는 몰수ㆍ추징의 대상은 범인이 범죄행위로 인하여 취득한 물건을 뜻하고, 여기서 ‘취득’이란 해당 범죄행위로 인하여 결과적으로 이를 취득한 때를 말한다고 제한적으로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t>② [2]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위 돈을 형법 제48조의 몰수ㆍ추징의 대상으로 보기 위해서는 피고인들의 위와 같은 범죄행위로 인하여 취득하였다는 점, 즉 위 돈이 피고인들과 사업장폐기물배출업체 사이에 피고인들의 범죄행위를 전제로 수수되었다는 점이 인정되어야 한다는 이유로, 사업장폐기물배출업체로부터 정상적인 절차에 따라 폐기물이 처리되는 것을 전제로 돈을 받았다는 피고인들 주장에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및 심리미진의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 ② 제1항 각 호의 물건을 몰수할 수 없을 때에는 그 가액(價額)을 추징한다.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 제2호</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제2항</w:t>
            </w:r>
          </w:p>
        </w:tc>
        <w:tc>
          <w:tcPr>
            <w:tcW w:type="pct" w:w="3500"/>
          </w:tcPr>
          <w:p>
            <w:pPr>
              <w:autoSpaceDE w:val="0"/>
              <w:autoSpaceDN w:val="0"/>
            </w:pPr>
            <w:r/>
            <w:r>
              <w:rPr>
                <w:rFonts w:ascii="맑은 고딕" w:hAnsi="맑은 고딕" w:eastAsia="맑은 고딕" w:cs="맑은 고딕"/>
                <w:b w:val="0"/>
                <w:color w:val="000000"/>
                <w:sz w:val="19"/>
              </w:rPr>
              <w:t>② 제1항 각 호의 물건을 몰수할 수 없을 때에는 그 가액(價額)을 추징한다.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https://www.law.go.kr/판례/(2020도10970)</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#2020도10970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