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 과다소각은 ‘허가받은 사항의 변경’이 아닙니다 (수도권 대기특별법)</w:t>
      </w:r>
    </w:p>
    <w:p>
      <w:pPr>
        <w:pStyle w:val="law1"/>
        <w:autoSpaceDE w:val="0"/>
        <w:autoSpaceDN w:val="0"/>
        <w:spacing w:after="160"/>
      </w:pPr>
      <w:r>
        <w:rPr>
          <w:rFonts w:ascii="맑은 고딕" w:hAnsi="맑은 고딕" w:eastAsia="맑은 고딕" w:cs="맑은 고딕"/>
          <w:color w:val="000000"/>
        </w:rPr>
        <w:t>대법원 2020도13266 (2021.02.25 선고)</w:t>
      </w:r>
    </w:p>
    <w:p>
      <w:pPr>
        <w:autoSpaceDE w:val="0"/>
        <w:autoSpaceDN w:val="0"/>
        <w:spacing w:after="120"/>
      </w:pPr>
      <w:r>
        <w:rPr>
          <w:rFonts w:ascii="맑은 고딕" w:hAnsi="맑은 고딕" w:eastAsia="맑은 고딕" w:cs="맑은 고딕"/>
          <w:color w:val="000000"/>
        </w:rPr>
        <w:t>○ 수도권 대기환경 특별법상 사업장 설치에 관한 ‘허가받은 사항’의 변경에 폐기물 과다소각이 포함되는지가 문제된 사건입니다. 대법원은 단순한 폐기물 과다소각은 포함되지 않는다고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허가 용량을 넘겨 폐기물을 과다 소각한 것이 ‘허가받은 사항의 변경’에 해당하나요?</w:t>
            </w:r>
          </w:p>
          <w:p>
            <w:pPr>
              <w:autoSpaceDE w:val="0"/>
              <w:autoSpaceDN w:val="0"/>
            </w:pPr>
            <w:r>
              <w:rPr>
                <w:rFonts w:ascii="맑은 고딕" w:hAnsi="맑은 고딕" w:eastAsia="맑은 고딕" w:cs="맑은 고딕"/>
                <w:b w:val="0"/>
                <w:color w:val="000000"/>
                <w:sz w:val="19"/>
              </w:rPr>
              <w:t>A. 아니요. 사업장 ‘설치’와 관련하여 허가받은 사항의 변경에 단순히 폐기물을 과다 소각하는 행위는 포함되지 않습니다.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2020도13266</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2021.02.25</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피고인 1 외 12인</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사건종류</w:t>
            </w:r>
          </w:p>
        </w:tc>
        <w:tc>
          <w:tcPr>
            <w:tcW w:type="pct" w:w="3800"/>
          </w:tcPr>
          <w:p>
            <w:pPr>
              <w:autoSpaceDE w:val="0"/>
              <w:autoSpaceDN w:val="0"/>
            </w:pPr>
            <w:r>
              <w:rPr>
                <w:rFonts w:ascii="맑은 고딕" w:hAnsi="맑은 고딕" w:eastAsia="맑은 고딕" w:cs="맑은 고딕"/>
                <w:color w:val="000000"/>
                <w:sz w:val="19"/>
              </w:rPr>
              <w:t>형사 (수도권대기환경개선에관한특별법위반ㆍ폐기물관리법위반ㆍ대기환경보전법위반ㆍ잔류성유기오염물질관리법위반ㆍ위계공무집행방해ㆍ증거인멸교사ㆍ증거인멸ㆍ환경영향평가법위반)</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원심</w:t>
            </w:r>
          </w:p>
        </w:tc>
        <w:tc>
          <w:tcPr>
            <w:tcW w:type="pct" w:w="3800"/>
          </w:tcPr>
          <w:p>
            <w:pPr>
              <w:autoSpaceDE w:val="0"/>
              <w:autoSpaceDN w:val="0"/>
            </w:pPr>
            <w:r>
              <w:rPr>
                <w:rFonts w:ascii="맑은 고딕" w:hAnsi="맑은 고딕" w:eastAsia="맑은 고딕" w:cs="맑은 고딕"/>
                <w:color w:val="000000"/>
                <w:sz w:val="19"/>
              </w:rPr>
              <w:t>서울동부지법 2019노138 (2020. 9. 3.)</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결과</w:t>
            </w:r>
          </w:p>
        </w:tc>
        <w:tc>
          <w:tcPr>
            <w:tcW w:type="pct" w:w="3800"/>
          </w:tcPr>
          <w:p>
            <w:pPr>
              <w:autoSpaceDE w:val="0"/>
              <w:autoSpaceDN w:val="0"/>
            </w:pPr>
            <w:r>
              <w:rPr>
                <w:rFonts w:ascii="맑은 고딕" w:hAnsi="맑은 고딕" w:eastAsia="맑은 고딕" w:cs="맑은 고딕"/>
                <w:color w:val="000000"/>
                <w:sz w:val="19"/>
              </w:rPr>
              <w:t>원심 파기환송 · 나머지 상고기각</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공소사실 중 피고인 2 주식회사의 소각로 2호기, 3호기(이하 각각 ‘한국환경개발 2호기’, ‘한국환경개발 3호기’라 한다), 피고인 10 주식회사의 소각로 2호기(이하 ‘신대한정유 2호기’라 한다) 부분에 대해서는, 소각로의 규모 등 외형적인 증설이 없거나 과다 소각행위는 변경허가의 대상이 아니며, 피고인 3, 피고인 4, 피고인 5, 피고인 9, 피고인 12 및 피고인 13이 위 범행에 관여하였음을 인정하기 어렵다고 보아 위 피고인들 및 피고인 1, 피고인 2 주식회사, 피고인 6, 피고인 8 주식회사 및 피고인 10 주식회사에 대하여 무죄로 판단하였다.</w:t>
      </w:r>
      <w:r>
        <w:rPr>
          <w:rFonts w:ascii="맑은 고딕" w:hAnsi="맑은 고딕" w:eastAsia="맑은 고딕" w:cs="맑은 고딕"/>
          <w:color w:val="000000"/>
        </w:rPr>
        <w:br/>
      </w:r>
      <w:r>
        <w:rPr>
          <w:rFonts w:ascii="맑은 고딕" w:hAnsi="맑은 고딕" w:eastAsia="맑은 고딕" w:cs="맑은 고딕"/>
          <w:color w:val="000000"/>
        </w:rPr>
        <w:t>② 또한 이 부분 공소사실 중 피고인 10 주식회사의 소각로 1호기(이하 ‘신대한정유 1호기’라 한다) 부분(유죄로 인정된 부분 제외)에 대해서 한 과다 소각행위에 대하여도 역시 변경허가의 대상이 아니라고 보아 피고인 3, 피고인 4, 피고인 5 및 피고인 8 주식회사에 대한 과다 소각행위 공소사실을 이유에서 무죄로 판단하였다.</w:t>
      </w:r>
      <w:r>
        <w:rPr>
          <w:rFonts w:ascii="맑은 고딕" w:hAnsi="맑은 고딕" w:eastAsia="맑은 고딕" w:cs="맑은 고딕"/>
          <w:color w:val="000000"/>
        </w:rPr>
        <w:br/>
      </w:r>
      <w:r>
        <w:rPr>
          <w:rFonts w:ascii="맑은 고딕" w:hAnsi="맑은 고딕" w:eastAsia="맑은 고딕" w:cs="맑은 고딕"/>
          <w:color w:val="000000"/>
        </w:rPr>
        <w:t>③ 먼저 원심이 과다 소각행위는 변경허가의 대상이 아니라고 판단한 것은 아래와 같은 점에 비추어 정당하다.</w:t>
      </w:r>
      <w:r>
        <w:rPr>
          <w:rFonts w:ascii="맑은 고딕" w:hAnsi="맑은 고딕" w:eastAsia="맑은 고딕" w:cs="맑은 고딕"/>
          <w:color w:val="000000"/>
        </w:rPr>
        <w:br/>
      </w:r>
      <w:r>
        <w:rPr>
          <w:rFonts w:ascii="맑은 고딕" w:hAnsi="맑은 고딕" w:eastAsia="맑은 고딕" w:cs="맑은 고딕"/>
          <w:color w:val="000000"/>
        </w:rPr>
        <w:t>④ (가) 구 수도권대기환경특별법 제14조 제1항은 사업장의 ‘설치’와 관련하여 허가받은 사항을 변경할 때 허가를 받도록 하고 있다.</w:t>
      </w:r>
      <w:r>
        <w:rPr>
          <w:rFonts w:ascii="맑은 고딕" w:hAnsi="맑은 고딕" w:eastAsia="맑은 고딕" w:cs="맑은 고딕"/>
          <w:color w:val="000000"/>
        </w:rPr>
        <w:br/>
      </w:r>
      <w:r>
        <w:rPr>
          <w:rFonts w:ascii="맑은 고딕" w:hAnsi="맑은 고딕" w:eastAsia="맑은 고딕" w:cs="맑은 고딕"/>
          <w:color w:val="000000"/>
        </w:rPr>
        <w:t>⑤ 국어사전의 정의에 따르면 ‘설치’란 ‘어떤 일을 하는 데 필요한 기관이나 설비 따위를 베풀어 둠’을 의미한다.</w:t>
      </w:r>
      <w:r>
        <w:rPr>
          <w:rFonts w:ascii="맑은 고딕" w:hAnsi="맑은 고딕" w:eastAsia="맑은 고딕" w:cs="맑은 고딕"/>
          <w:color w:val="000000"/>
        </w:rPr>
        <w:br/>
      </w:r>
      <w:r>
        <w:rPr>
          <w:rFonts w:ascii="맑은 고딕" w:hAnsi="맑은 고딕" w:eastAsia="맑은 고딕" w:cs="맑은 고딕"/>
          <w:color w:val="000000"/>
        </w:rPr>
        <w:t>⑥ (나) 구「수도권 대기환경개선에 관한 특별법 시행규칙」(2000. 4. 2. 환경부령 제857호 대기관리권역의 대기환경개선에 관한 특별법 시행규칙 부칙 제2조로 폐지) 제8조에 의하면, 사업장설치의 허가를 받으려는 자는 [별지 제1호 서식]의 대기오염물질 총량관리사업장 설치 허가신청서에 배출시설 및 방지시설의 설치내역서, 방지시설의 개요를 나타내는 도면, 방지시설의 연간 유지관리 계획서 등을 첨부하여야 하는데(제1항 제4호), 그 [별지 제1호 서식]에는 ‘대기오염물질 배출시설 및 방지시설’ 및 그 시설에 대한 사항을 기초로 하는 ‘대기오염물질 발생량’을 기재하는 난 등이 마련되어 있다.</w:t>
      </w:r>
      <w:r>
        <w:rPr>
          <w:rFonts w:ascii="맑은 고딕" w:hAnsi="맑은 고딕" w:eastAsia="맑은 고딕" w:cs="맑은 고딕"/>
          <w:color w:val="000000"/>
        </w:rPr>
        <w:br/>
      </w:r>
      <w:r>
        <w:rPr>
          <w:rFonts w:ascii="맑은 고딕" w:hAnsi="맑은 고딕" w:eastAsia="맑은 고딕" w:cs="맑은 고딕"/>
          <w:color w:val="000000"/>
        </w:rPr>
        <w:t>⑦ 한편 허가권자가 사업장설치를 허가하였을 경우에는 [별지 제2호 서식]의 대기오염물질 총량관리사업장 설치 허가증을 신청인에게 내주어야 하는데(제2항), 그 [별지 제2호 서식]에는 허가사항으로서 앞에서 본 ‘오염물질 등을 배출하는 시설물 및 방지시설’, ‘오염물질 발생량’ 외에 ‘총량관리대상 오염물질 배출허용총량’ 및 ‘허가조건’을 기재하는 난이 마련되어 있다.</w:t>
      </w:r>
      <w:r>
        <w:rPr>
          <w:rFonts w:ascii="맑은 고딕" w:hAnsi="맑은 고딕" w:eastAsia="맑은 고딕" w:cs="맑은 고딕"/>
          <w:color w:val="000000"/>
        </w:rPr>
        <w:br/>
      </w:r>
      <w:r>
        <w:rPr>
          <w:rFonts w:ascii="맑은 고딕" w:hAnsi="맑은 고딕" w:eastAsia="맑은 고딕" w:cs="맑은 고딕"/>
          <w:color w:val="000000"/>
        </w:rPr>
        <w:t>⑧ 그리고 위 허가증에 기재된 ‘총량관리대상 오염물질 배출허용총량’을 초과하여 배출하는 행위는 구 수도권대기환경특별법 제20조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사업장의 ‘설치’와 관련하여 허가받은 사항을 변경할 때 허가를 받도록 규정한 구 수도권 대기환경개선에 관한 특별법 제14조 제1항의 ‘허가받은 사항’의 변경에 단순히 폐기물을 과다 소각하는 행위가 포함되는지 여부(소극)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원심의 판단은 정당하다고 보기 어렵다.</w:t>
      </w:r>
      <w:r>
        <w:rPr>
          <w:rFonts w:ascii="맑은 고딕" w:hAnsi="맑은 고딕" w:eastAsia="맑은 고딕" w:cs="맑은 고딕"/>
          <w:color w:val="000000"/>
        </w:rPr>
        <w:br/>
      </w:r>
      <w:r>
        <w:rPr>
          <w:rFonts w:ascii="맑은 고딕" w:hAnsi="맑은 고딕" w:eastAsia="맑은 고딕" w:cs="맑은 고딕"/>
          <w:color w:val="000000"/>
        </w:rPr>
        <w:t>② 그 이유는 다음과 같다.</w:t>
      </w:r>
      <w:r>
        <w:rPr>
          <w:rFonts w:ascii="맑은 고딕" w:hAnsi="맑은 고딕" w:eastAsia="맑은 고딕" w:cs="맑은 고딕"/>
          <w:color w:val="000000"/>
        </w:rPr>
        <w:br/>
      </w:r>
      <w:r>
        <w:rPr>
          <w:rFonts w:ascii="맑은 고딕" w:hAnsi="맑은 고딕" w:eastAsia="맑은 고딕" w:cs="맑은 고딕"/>
          <w:color w:val="000000"/>
        </w:rPr>
        <w:t>③ (가) 구 수도권대기환경특별법 제14조 제1항은 “대기관리권역에서 총량관리대상 오염물질을 대통령령으로 정하는 배출량을 초과하여 배출하는 사업장을 설치하거나 이에 해당하는 사업장으로 변경하려는 자는 환경부령으로 정하는 바에 따라 환경부장관으로부터 사업장설치의 허가를 받아야 한다.</w:t>
      </w:r>
      <w:r>
        <w:rPr>
          <w:rFonts w:ascii="맑은 고딕" w:hAnsi="맑은 고딕" w:eastAsia="맑은 고딕" w:cs="맑은 고딕"/>
          <w:color w:val="000000"/>
        </w:rPr>
        <w:br/>
      </w:r>
      <w:r>
        <w:rPr>
          <w:rFonts w:ascii="맑은 고딕" w:hAnsi="맑은 고딕" w:eastAsia="맑은 고딕" w:cs="맑은 고딕"/>
          <w:color w:val="000000"/>
        </w:rPr>
        <w:t>④ 허가받은 사항을 변경하는 경우에도 또한 같다.”라고 규정하여 이미 ‘허가받은 사항’을 변경하는 것은 원칙적으로 허가사항에 해당함을 밝히고 있다.</w:t>
      </w:r>
      <w:r>
        <w:rPr>
          <w:rFonts w:ascii="맑은 고딕" w:hAnsi="맑은 고딕" w:eastAsia="맑은 고딕" w:cs="맑은 고딕"/>
          <w:color w:val="000000"/>
        </w:rPr>
        <w:br/>
      </w:r>
      <w:r>
        <w:rPr>
          <w:rFonts w:ascii="맑은 고딕" w:hAnsi="맑은 고딕" w:eastAsia="맑은 고딕" w:cs="맑은 고딕"/>
          <w:color w:val="000000"/>
        </w:rPr>
        <w:t>⑤ (나) 이는 배출시설 설치 허가사항 중 ‘중요한 사항’을 변경하는 경우에만 허가를 받도록 하는 대기환경보전법 제23조 제2항과 내용 및 형식을 달리한다.</w:t>
      </w:r>
      <w:r>
        <w:rPr>
          <w:rFonts w:ascii="맑은 고딕" w:hAnsi="맑은 고딕" w:eastAsia="맑은 고딕" w:cs="맑은 고딕"/>
          <w:color w:val="000000"/>
        </w:rPr>
        <w:br/>
      </w:r>
      <w:r>
        <w:rPr>
          <w:rFonts w:ascii="맑은 고딕" w:hAnsi="맑은 고딕" w:eastAsia="맑은 고딕" w:cs="맑은 고딕"/>
          <w:color w:val="000000"/>
        </w:rPr>
        <w:t>⑥ 또한 구 수도권대기환경특별법 제3조는 “이 법은 대기환경보전법에 우선하여 적용하며, 이 법에서 규정하지 아니한 사항은 대기환경보전법으로 정하는 바에 따른다.”라고 규정하고 있는데 앞에서 본 바와 같이 구 수도권대기환경특별법은 허가를 받아야 하는 변경사항에 대하여 명시적으로 규정하고 있으므로 거기에 대기환경보전법의 규정이 적용될 여지가 없다.</w:t>
      </w:r>
      <w:r>
        <w:rPr>
          <w:rFonts w:ascii="맑은 고딕" w:hAnsi="맑은 고딕" w:eastAsia="맑은 고딕" w:cs="맑은 고딕"/>
          <w:color w:val="000000"/>
        </w:rPr>
        <w:br/>
      </w:r>
      <w:r>
        <w:rPr>
          <w:rFonts w:ascii="맑은 고딕" w:hAnsi="맑은 고딕" w:eastAsia="맑은 고딕" w:cs="맑은 고딕"/>
          <w:color w:val="000000"/>
        </w:rPr>
        <w:t>⑦ (다) 구 수도권대기환경특별법은 이 부분 공소사실의 범행 기간 중인 2015. 7. 20. 개정되면서 제14조 제2항에 “허가를 받은 자가 환경부령으로 정하는 경미한 사항을 변경하는 경우에는 환경부령으로 정하는 바에 따라 변경신고를 하여야 한다.”라는 규정을 신설하였는데, 그 이유는 그간 변경허가를 받도록 하였던 것을 변경신고로 완화하여 민원인의 편의와 업무의 효율을 높이려는 것이다.</w:t>
      </w:r>
      <w:r>
        <w:rPr>
          <w:rFonts w:ascii="맑은 고딕" w:hAnsi="맑은 고딕" w:eastAsia="맑은 고딕" w:cs="맑은 고딕"/>
          <w:color w:val="000000"/>
        </w:rPr>
        <w:br/>
      </w:r>
      <w:r>
        <w:rPr>
          <w:rFonts w:ascii="맑은 고딕" w:hAnsi="맑은 고딕" w:eastAsia="맑은 고딕" w:cs="맑은 고딕"/>
          <w:color w:val="000000"/>
        </w:rPr>
        <w:t>⑧ 위 규정의 내용 및 개정이유에 비추어 보면 입법자의 의사는 허가를 받은 자가 이미 ‘허가받은 사항’을 변경하려 할 때에는 다시 허가를 받도록 하되 다만 변경신고 대상을 적절히 정함으로써 이를 탄력적으로 운영할 여지를 남겨둔 것이라고 할 수 있다.</w:t>
      </w:r>
      <w:r>
        <w:rPr>
          <w:rFonts w:ascii="맑은 고딕" w:hAnsi="맑은 고딕" w:eastAsia="맑은 고딕" w:cs="맑은 고딕"/>
          <w:color w:val="000000"/>
        </w:rPr>
        <w:br/>
      </w:r>
      <w:r>
        <w:rPr>
          <w:rFonts w:ascii="맑은 고딕" w:hAnsi="맑은 고딕" w:eastAsia="맑은 고딕" w:cs="맑은 고딕"/>
          <w:color w:val="000000"/>
        </w:rPr>
        <w:t>⑨ 따라서 원심의 이 부분 공소사실에 대한 위와 같은 판단은 잘못이다.</w:t>
      </w:r>
      <w:r>
        <w:rPr>
          <w:rFonts w:ascii="맑은 고딕" w:hAnsi="맑은 고딕" w:eastAsia="맑은 고딕" w:cs="맑은 고딕"/>
          <w:color w:val="000000"/>
        </w:rPr>
        <w:br/>
      </w:r>
      <w:r>
        <w:rPr>
          <w:rFonts w:ascii="맑은 고딕" w:hAnsi="맑은 고딕" w:eastAsia="맑은 고딕" w:cs="맑은 고딕"/>
          <w:color w:val="000000"/>
        </w:rPr>
        <w:t>⑩ 그러나 원심이 한국환경개발 2, 3호기, 신대한정유 2호기에 대해 각 소각시설의 규모 등 외형적인 증설행위를 한 사실을 인정할 증거가 없고 과다 소각행위만으로는 ‘허가받은 사항’의 변경에 해당하지 않으며, 신대한정유 1호기에 대해 유죄로 인정된 소각시설 증설 부분을 제외한 나머지 이유무죄 부분에 대해 과다 소각행위만으로는 ‘허가받은 사항’의 변경에 해당하지 않는다고 보아 무죄로 판단한</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수도권 대기환경개선에 관한 특별법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제14조 제1항</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수도권 대기환경개선에 관한 특별법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제20조 제1항</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수도권 대기환경개선에 관한 특별법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제8조 제1항 [별지 제1호 서식]</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수도권 대기환경개선에 관한 특별법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제8조 제2항 [별지 제2호 서식]</w:t>
            </w:r>
          </w:p>
        </w:tc>
        <w:tc>
          <w:tcPr>
            <w:tcW w:type="pct" w:w="3500"/>
          </w:tcPr>
          <w:p>
            <w:pPr>
              <w:autoSpaceDE w:val="0"/>
              <w:autoSpaceDN w:val="0"/>
            </w:pPr>
            <w:r/>
            <w:r>
              <w:rPr>
                <w:rFonts w:ascii="맑은 고딕" w:hAnsi="맑은 고딕" w:eastAsia="맑은 고딕" w:cs="맑은 고딕"/>
                <w:b w:val="0"/>
                <w:color w:val="000000"/>
                <w:sz w:val="19"/>
              </w:rPr>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https://www.law.go.kr/판례/(2020도13266)</w:t>
      </w:r>
    </w:p>
    <w:p>
      <w:pPr>
        <w:autoSpaceDE w:val="0"/>
        <w:autoSpaceDN w:val="0"/>
        <w:spacing w:before="80"/>
      </w:pPr>
      <w:r>
        <w:rPr>
          <w:rFonts w:ascii="맑은 고딕" w:hAnsi="맑은 고딕" w:eastAsia="맑은 고딕" w:cs="맑은 고딕"/>
          <w:color w:val="000000"/>
          <w:sz w:val="18"/>
        </w:rPr>
        <w:t>태그  #폐기물관리법판례 #형사판례 #대법원판례 #2021년판례 #2020도13266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