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(방치폐기물처리명령취소)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광주고법(전주) 2019누1772 (2020. 12. 23.)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(원고에게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○○○(이하 ‘○○○’이라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t>③ 피고는 2016. 7. 25. ○○○에 대하여 방치폐기물처리 이행보증금 계약갱신명령위반을 사유로 폐기물 중간재활용업 허가취소처분을 하였고, 2016. 7. 29. 폐기물 중간재활용업 허가가 취소됨에 따라 방치폐기물에 대한 처리명령을 하였으나, ○○○은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rPr>
        <w:t>② [2]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