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폐기물처리사업계획서 적합 여부는 행정청의 광범위한 재량입니다</w:t>
      </w:r>
    </w:p>
    <w:p>
      <w:pPr>
        <w:pStyle w:val="law1"/>
        <w:autoSpaceDE w:val="0"/>
        <w:autoSpaceDN w:val="0"/>
        <w:spacing w:after="160"/>
      </w:pPr>
      <w:r>
        <w:rPr>
          <w:rFonts w:ascii="맑은 고딕" w:hAnsi="맑은 고딕" w:eastAsia="맑은 고딕" w:cs="맑은 고딕"/>
          <w:color w:val="000000"/>
        </w:rPr>
        <w:t>대법원 2023두38745 (2023.07.27 선고)</w:t>
      </w:r>
    </w:p>
    <w:p>
      <w:pPr>
        <w:autoSpaceDE w:val="0"/>
        <w:autoSpaceDN w:val="0"/>
        <w:spacing w:after="120"/>
      </w:pPr>
      <w:r>
        <w:rPr>
          <w:rFonts w:ascii="맑은 고딕" w:hAnsi="맑은 고딕" w:eastAsia="맑은 고딕" w:cs="맑은 고딕"/>
          <w:color w:val="000000"/>
        </w:rPr>
        <w:t>○ 폐기물처리사업계획서 반려·부적합 통보의 재량 범위와 취소소송 심리방법이 문제된 사건으로, 같은 날 선고된 2023두35661과 동일한 취지입니다. 대법원은 행정청의 광범위한 재량을 인정했습니다.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폐기물처리사업계획서 적합 여부 판단에 행정청의 재량이 얼마나 인정되나요?</w:t>
            </w:r>
          </w:p>
          <w:p>
            <w:pPr>
              <w:autoSpaceDE w:val="0"/>
              <w:autoSpaceDN w:val="0"/>
            </w:pPr>
            <w:r>
              <w:rPr>
                <w:rFonts w:ascii="맑은 고딕" w:hAnsi="맑은 고딕" w:eastAsia="맑은 고딕" w:cs="맑은 고딕"/>
                <w:b w:val="0"/>
                <w:color w:val="000000"/>
                <w:sz w:val="19"/>
              </w:rPr>
              <w:t>A. 생활환경·자연환경 영향을 종합 검토하는 광범위한 재량이 인정되고, 장래 예측이 필요한 판단은 폭넓게 존중됩니다.</w:t>
            </w:r>
          </w:p>
          <w:p>
            <w:pPr>
              <w:autoSpaceDE w:val="0"/>
              <w:autoSpaceDN w:val="0"/>
            </w:pPr>
          </w:p>
          <w:p>
            <w:pPr>
              <w:autoSpaceDE w:val="0"/>
              <w:autoSpaceDN w:val="0"/>
            </w:pPr>
            <w:r>
              <w:rPr>
                <w:rFonts w:ascii="맑은 고딕" w:hAnsi="맑은 고딕" w:eastAsia="맑은 고딕" w:cs="맑은 고딕"/>
                <w:b/>
                <w:color w:val="000000"/>
                <w:sz w:val="19"/>
              </w:rPr>
              <w:t>Q. 반려처분의 위법은 누가 증명하나요?</w:t>
            </w:r>
          </w:p>
          <w:p>
            <w:pPr>
              <w:autoSpaceDE w:val="0"/>
              <w:autoSpaceDN w:val="0"/>
            </w:pPr>
            <w:r>
              <w:rPr>
                <w:rFonts w:ascii="맑은 고딕" w:hAnsi="맑은 고딕" w:eastAsia="맑은 고딕" w:cs="맑은 고딕"/>
                <w:b w:val="0"/>
                <w:color w:val="000000"/>
                <w:sz w:val="19"/>
              </w:rPr>
              <w:t>A. 처분을 다투는 원고가 증명하며, 처분서가 불확정개념만 담고 있으면 행정청이 소송에서 구체적 사유를 제시하고 원고가 반박 자료를 내야 합니다.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2023두38745</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2023.07.27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원고 주식회사 ○○○ · 피고 영천시장</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사건종류</w:t>
            </w:r>
          </w:p>
        </w:tc>
        <w:tc>
          <w:tcPr>
            <w:tcW w:type="pct" w:w="3800"/>
          </w:tcPr>
          <w:p>
            <w:pPr>
              <w:autoSpaceDE w:val="0"/>
              <w:autoSpaceDN w:val="0"/>
            </w:pPr>
            <w:r>
              <w:rPr>
                <w:rFonts w:ascii="맑은 고딕" w:hAnsi="맑은 고딕" w:eastAsia="맑은 고딕" w:cs="맑은 고딕"/>
                <w:color w:val="000000"/>
                <w:sz w:val="19"/>
              </w:rPr>
              <w:t>일반행정 (폐기물처리사업계획신청반려처분취소)</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원심</w:t>
            </w:r>
          </w:p>
        </w:tc>
        <w:tc>
          <w:tcPr>
            <w:tcW w:type="pct" w:w="3800"/>
          </w:tcPr>
          <w:p>
            <w:pPr>
              <w:autoSpaceDE w:val="0"/>
              <w:autoSpaceDN w:val="0"/>
            </w:pPr>
            <w:r>
              <w:rPr>
                <w:rFonts w:ascii="맑은 고딕" w:hAnsi="맑은 고딕" w:eastAsia="맑은 고딕" w:cs="맑은 고딕"/>
                <w:color w:val="000000"/>
                <w:sz w:val="19"/>
              </w:rPr>
              <w:t>대구고법 2022누4432 (2023. 3. 24.)</w:t>
            </w:r>
          </w:p>
        </w:tc>
      </w:tr>
      <w:tr>
        <w:tc>
          <w:tcPr>
            <w:tcW w:type="pct" w:w="1200"/>
            <w:shd w:val="clear" w:color="auto" w:fill="F2F2F2"/>
          </w:tcPr>
          <w:p>
            <w:pPr>
              <w:autoSpaceDE w:val="0"/>
              <w:autoSpaceDN w:val="0"/>
            </w:pPr>
            <w:r>
              <w:rPr>
                <w:rFonts w:ascii="맑은 고딕" w:hAnsi="맑은 고딕" w:eastAsia="맑은 고딕" w:cs="맑은 고딕"/>
                <w:b/>
                <w:color w:val="000000"/>
                <w:sz w:val="19"/>
              </w:rPr>
              <w:t>결과</w:t>
            </w:r>
          </w:p>
        </w:tc>
        <w:tc>
          <w:tcPr>
            <w:tcW w:type="pct" w:w="3800"/>
          </w:tcPr>
          <w:p>
            <w:pPr>
              <w:autoSpaceDE w:val="0"/>
              <w:autoSpaceDN w:val="0"/>
            </w:pPr>
            <w:r>
              <w:rPr>
                <w:rFonts w:ascii="맑은 고딕" w:hAnsi="맑은 고딕" w:eastAsia="맑은 고딕" w:cs="맑은 고딕"/>
                <w:color w:val="000000"/>
                <w:sz w:val="19"/>
              </w:rPr>
              <w:t>원심 파기환송</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행정청이 폐기물처리사업계획서의 적합 여부를 판단하는 방법 및 폐기물처리사업계획서의 적합 여부 결정에 관하여 행정청에 광범위한 재량권이 인정되는지 여부(적극) / 법원이 적합 여부 결정과 관련한 행정청의 재량권 일탈·남용 여부를 심사하는 방법 / 장래에 발생할 불확실한 상황과 파급효과에 대한 예측이 필요한 요건에 관한 행정청의 재량적 판단은 폭넓게 존중되어야 하는지 여부(원칙적 적극)</w:t>
      </w:r>
      <w:r>
        <w:rPr>
          <w:rFonts w:ascii="맑은 고딕" w:hAnsi="맑은 고딕" w:eastAsia="맑은 고딕" w:cs="맑은 고딕"/>
          <w:color w:val="000000"/>
        </w:rPr>
        <w:br/>
      </w:r>
      <w:r>
        <w:rPr>
          <w:rFonts w:ascii="맑은 고딕" w:hAnsi="맑은 고딕" w:eastAsia="맑은 고딕" w:cs="맑은 고딕"/>
          <w:color w:val="000000"/>
        </w:rPr>
        <w:t>[2] 처분이 재량권을 일탈·남용했다는 사정에 관한 증명책임의 소재(=처분의 효력을 다투는 자) / 행정청이 처분서에 불확정개념으로 규정된 법령상 허가기준 등을 충족하지 못했다는 취지만 간략히 기재하여 폐기물처리사업계획서 반려 내지 부적합 통보를 한 경우, 이에 대한 취소소송절차에서 행정청이 구체적 불허가사유를 분명히 해야 하는지 여부(적극) 및 이 경우 원고는 구체적 불허가사유에 관한 판단과 근거에 재량권 일탈·남용의 위법을 밝히기 위해 소송절차에서 추가적인 주장과 자료를 제출할 필요가 있는지 여부(적극)</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판단은 그대로 받아들이기 어렵다.</w:t>
      </w:r>
      <w:r>
        <w:rPr>
          <w:rFonts w:ascii="맑은 고딕" w:hAnsi="맑은 고딕" w:eastAsia="맑은 고딕" w:cs="맑은 고딕"/>
          <w:color w:val="000000"/>
        </w:rPr>
        <w:br/>
      </w:r>
      <w:r>
        <w:rPr>
          <w:rFonts w:ascii="맑은 고딕" w:hAnsi="맑은 고딕" w:eastAsia="맑은 고딕" w:cs="맑은 고딕"/>
          <w:color w:val="000000"/>
        </w:rPr>
        <w:t>② 피고는 이 사건 반려처분서에 처분사유를 ‘폐기물관리법 제25조 제7항 및 이 사건 지침 제3조에 따른 주민 건강 및 주변 환경 영향 여부를 확인하기 위한 주민동의서 미제출’이라고만 기재하였다.</w:t>
      </w:r>
      <w:r>
        <w:rPr>
          <w:rFonts w:ascii="맑은 고딕" w:hAnsi="맑은 고딕" w:eastAsia="맑은 고딕" w:cs="맑은 고딕"/>
          <w:color w:val="000000"/>
        </w:rPr>
        <w:br/>
      </w:r>
      <w:r>
        <w:rPr>
          <w:rFonts w:ascii="맑은 고딕" w:hAnsi="맑은 고딕" w:eastAsia="맑은 고딕" w:cs="맑은 고딕"/>
          <w:color w:val="000000"/>
        </w:rPr>
        <w:t>③ 그런데 피고는 이 사건 소송과정에서 원고가 운영하려는 폐기물처리시설(이하 ‘이 사건 처리시설’이라고 한다) 인근의 마을들과 시설들을 구체적으로 열거하면서, 이 사건 사업계획서에 따르면 원고는 영천시 전 지역에서 연간 발생하는 생활폐기물 약 21,000t을 훨씬 상회하는 연간 약 96,000t(1일 약 320t)의 폐기물을 처리하여 연간 약 75,000t(1일 약 250t)의 비성형 고형연료제품을 제조한다는 것으로, 위 제품의 제조과정과 운반과정에서 발생하는 분진, 비산먼지 등이 위 마을 및 시설 등 주변 환경에 좋지 않은 영향을 끼칠 것이라고 밝혀, 처분사유로 기재되어 있던 주민의 건강과 주변 환경에의 영향이라는 불확정개념을 구체화하였다.</w:t>
      </w:r>
      <w:r>
        <w:rPr>
          <w:rFonts w:ascii="맑은 고딕" w:hAnsi="맑은 고딕" w:eastAsia="맑은 고딕" w:cs="맑은 고딕"/>
          <w:color w:val="000000"/>
        </w:rPr>
        <w:br/>
      </w:r>
      <w:r>
        <w:rPr>
          <w:rFonts w:ascii="맑은 고딕" w:hAnsi="맑은 고딕" w:eastAsia="맑은 고딕" w:cs="맑은 고딕"/>
          <w:color w:val="000000"/>
        </w:rPr>
        <w:t>④ 원고가 계획한 폐기물처리사업은 1시간당 42t의 폐기물을 처리할 수 있는 파쇄시설 1대(동력 320kw)와 1시간당 18t의 폐기물을 처리하는 분쇄시설 2대(각 동력 280kw)를 사용하여 대규모로 폐합성수지류 등 폐기물의 파쇄·선별·분쇄작업을 수행할 것을 예정하고 있는바, 이로 인하여 소음, 분진, 진동이 발생할 것으로 보이고, 폐기물 및 제품 운반과정에서도 비산먼지 및 매연으로 인한 대기오염이 발생할 수 있을 것으로 보인다.</w:t>
      </w:r>
      <w:r>
        <w:rPr>
          <w:rFonts w:ascii="맑은 고딕" w:hAnsi="맑은 고딕" w:eastAsia="맑은 고딕" w:cs="맑은 고딕"/>
          <w:color w:val="000000"/>
        </w:rPr>
        <w:br/>
      </w:r>
      <w:r>
        <w:rPr>
          <w:rFonts w:ascii="맑은 고딕" w:hAnsi="맑은 고딕" w:eastAsia="맑은 고딕" w:cs="맑은 고딕"/>
          <w:color w:val="000000"/>
        </w:rPr>
        <w:t>⑤ 그런데 이 사건 사업계획서에 주변 환경에 대한 영향을 방지하기 위하여 기재되어 있는 구체적인 조치는 폐기물 저장창고의 옥내화, 파쇄·선별·분쇄과정에서 발생하는 비산먼지를 방지하기 위한 여과집진시설 2대의 설치뿐인바, 위와 같은 조치들만으로는 이 사건 처리시설로 인하여 발생할 수 있는 환경상의 악영향을 방지하는 것이 불가능하다고 본 피고의 판단이 불합리하다고 단정할 수 없다.</w:t>
      </w:r>
      <w:r>
        <w:rPr>
          <w:rFonts w:ascii="맑은 고딕" w:hAnsi="맑은 고딕" w:eastAsia="맑은 고딕" w:cs="맑은 고딕"/>
          <w:color w:val="000000"/>
        </w:rPr>
        <w:br/>
      </w:r>
      <w:r>
        <w:rPr>
          <w:rFonts w:ascii="맑은 고딕" w:hAnsi="맑은 고딕" w:eastAsia="맑은 고딕" w:cs="맑은 고딕"/>
          <w:color w:val="000000"/>
        </w:rPr>
        <w:t>⑥ 이 사건 처리시설 예정지로부터 약 300m 떨어진 곳에는 석계리 마을이, 약 650m 떨어진 곳에는 삼산리 마을이, 약 1㎞ 떨어진 곳에는 삼포리 마을이, 약 1.5km 떨어진 곳에는 청정리 마을이 각각 위치하여 있는데, 이 사건 처리시설이 위 각 마을에 어떠한 영향을 주는지 여부를 확인할 수 있는 자료는 전혀 제출되지 아니하였다.</w:t>
      </w:r>
      <w:r>
        <w:rPr>
          <w:rFonts w:ascii="맑은 고딕" w:hAnsi="맑은 고딕" w:eastAsia="맑은 고딕" w:cs="맑은 고딕"/>
          <w:color w:val="000000"/>
        </w:rPr>
        <w:br/>
      </w:r>
      <w:r>
        <w:rPr>
          <w:rFonts w:ascii="맑은 고딕" w:hAnsi="맑은 고딕" w:eastAsia="맑은 고딕" w:cs="맑은 고딕"/>
          <w:color w:val="000000"/>
        </w:rPr>
        <w:t>⑦ 특히 이 사건 처리시설 예정지와 석계리 마을 사이는 거리가 가까울 뿐만 아니라 야산으로 둘러싸인 협곡 지형에 해당하여 비산먼지·소음 등을 막을 장애물이 없으므로, 석계리 마을 주민들에 대하여는 이 사건 처리시설에서 발생하는 비산먼지, 소음 등으로 인한 생활환경 침해 정도가 적지 않을 것으로 보인다.</w:t>
      </w:r>
      <w:r>
        <w:rPr>
          <w:rFonts w:ascii="맑은 고딕" w:hAnsi="맑은 고딕" w:eastAsia="맑은 고딕" w:cs="맑은 고딕"/>
          <w:color w:val="000000"/>
        </w:rPr>
        <w:br/>
      </w:r>
      <w:r>
        <w:rPr>
          <w:rFonts w:ascii="맑은 고딕" w:hAnsi="맑은 고딕" w:eastAsia="맑은 고딕" w:cs="맑은 고딕"/>
          <w:color w:val="000000"/>
        </w:rPr>
        <w:t>⑧ 원고는 이 사건 처리시설로 매일 약 320t의 폐기물을 운반하고, 이 사건 처리시설에서 약 250t의 가공된 제품을 출하할 예정이다.</w:t>
      </w:r>
      <w:r>
        <w:rPr>
          <w:rFonts w:ascii="맑은 고딕" w:hAnsi="맑은 고딕" w:eastAsia="맑은 고딕" w:cs="맑은 고딕"/>
          <w:color w:val="000000"/>
        </w:rPr>
        <w:br/>
      </w:r>
      <w:r>
        <w:rPr>
          <w:rFonts w:ascii="맑은 고딕" w:hAnsi="맑은 고딕" w:eastAsia="맑은 고딕" w:cs="맑은 고딕"/>
          <w:color w:val="000000"/>
        </w:rPr>
        <w:t>⑨ 폐기물 운반 및 제품 출하를 위하여 대형트럭이 빈번하게 출입하는 상황은 인근 지역의 교통 위험을 증가시키는 요인이 될 수 있다.</w:t>
      </w:r>
      <w:r>
        <w:rPr>
          <w:rFonts w:ascii="맑은 고딕" w:hAnsi="맑은 고딕" w:eastAsia="맑은 고딕" w:cs="맑은 고딕"/>
          <w:color w:val="000000"/>
        </w:rPr>
        <w:br/>
      </w:r>
      <w:r>
        <w:rPr>
          <w:rFonts w:ascii="맑은 고딕" w:hAnsi="맑은 고딕" w:eastAsia="맑은 고딕" w:cs="맑은 고딕"/>
          <w:color w:val="000000"/>
        </w:rPr>
        <w:t>⑩ 환경이 오염되면 원상회복이 거의 불가능한 경우가 많아 사후적 규제만으로 환경오염으로 인한 피해를 회복하는 데 한계가 있다.</w:t>
      </w:r>
      <w:r>
        <w:rPr>
          <w:rFonts w:ascii="맑은 고딕" w:hAnsi="맑은 고딕" w:eastAsia="맑은 고딕" w:cs="맑은 고딕"/>
          <w:color w:val="000000"/>
        </w:rPr>
        <w:br/>
      </w:r>
      <w:r>
        <w:rPr>
          <w:rFonts w:ascii="맑은 고딕" w:hAnsi="맑은 고딕" w:eastAsia="맑은 고딕" w:cs="맑은 고딕"/>
          <w:color w:val="000000"/>
        </w:rPr>
        <w:t>⑪ 환경이 심각하게 오염될 우려가 있는 경우에는 이를 미리 방지하는 것이 중요한데, 현재 원고가 제출한 증거만으로는 ‘주민들의 건강이나 주변 환경에 영향을 미칠 우려’를 처분사유로 하는 이 사건 반려처분에 비례의 원칙 위반 등 재량권을 일탈·남용한 위법이 있다고 단정하기 어렵다.</w:t>
      </w:r>
      <w:r>
        <w:rPr>
          <w:rFonts w:ascii="맑은 고딕" w:hAnsi="맑은 고딕" w:eastAsia="맑은 고딕" w:cs="맑은 고딕"/>
          <w:color w:val="000000"/>
        </w:rPr>
        <w:br/>
      </w:r>
      <w:r>
        <w:rPr>
          <w:rFonts w:ascii="맑은 고딕" w:hAnsi="맑은 고딕" w:eastAsia="맑은 고딕" w:cs="맑은 고딕"/>
          <w:color w:val="000000"/>
        </w:rPr>
        <w:t>⑫ 따라서 원심으로서는 단순히 피고가 보완서류 미이행(주민동의서 미제출)을 이유로 이 사건 반려처분을 하였다고 보아, 이 사건 반려처분에 재량권 일탈·남용의 위법이 있다고 단정할 것이 아니라, 원고로 하여금 이 사건 처리시설 예정지의 자연환경, 기반시설과 인근의 주거시설, 상업시설, 산업시설, 근린생활시설 등의 위치, 규모 및 현황을 확인할 수 있는 자료 및 원고가 운영할 이 사건 처리시설이 주민들의 건강과 주변 환경에 어떠한 영향을 주는지에 관한 주장 및 자료를 제출하게 하여 이 사건 처리시설로 인한 ‘주민들의 건강이나 주변 환경에의 영향’의 유무 및 그 정도를 심리하였어야 한다.</w:t>
      </w:r>
      <w:r>
        <w:rPr>
          <w:rFonts w:ascii="맑은 고딕" w:hAnsi="맑은 고딕" w:eastAsia="맑은 고딕" w:cs="맑은 고딕"/>
          <w:color w:val="000000"/>
        </w:rPr>
        <w:br/>
      </w:r>
      <w:r>
        <w:rPr>
          <w:rFonts w:ascii="맑은 고딕" w:hAnsi="맑은 고딕" w:eastAsia="맑은 고딕" w:cs="맑은 고딕"/>
          <w:color w:val="000000"/>
        </w:rPr>
        <w:t>⑬ 그럼에도 원심은 그에 관한 조치를 취하거나 심리를 하지 않고, 곧바로 이 사건 반려처분에 재량권을 일탈·남용한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t>⑭ 이러한 원심판단에는 폐기물관리법상 폐기물처리사업계획서 적합 통보 여부에 관한 심사기준과 그 범위, 불확정개념을 처분사유로 한 경우의 그 해석과 심리방법, 재량권 일탈·남용에 대한 주장·증명책임 등에 관한 법리를 오해하여 필요한 심리를 다하지 않음으로써 판결에 영향을 미친 잘못이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최대한 억제하고 발생한 폐기물을 친환경적으로 처리함으로써 환경보전과 국민생활의 질적 향상에 이바지하는 것을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 제4호</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제12조 제1항</w:t>
            </w:r>
          </w:p>
        </w:tc>
        <w:tc>
          <w:tcPr>
            <w:tcW w:type="pct" w:w="3500"/>
          </w:tcPr>
          <w:p>
            <w:pPr>
              <w:autoSpaceDE w:val="0"/>
              <w:autoSpaceDN w:val="0"/>
            </w:pPr>
            <w:r/>
            <w:r>
              <w:rPr>
                <w:rFonts w:ascii="맑은 고딕" w:hAnsi="맑은 고딕" w:eastAsia="맑은 고딕" w:cs="맑은 고딕"/>
                <w:b w:val="0"/>
                <w:color w:val="000000"/>
                <w:sz w:val="19"/>
              </w:rPr>
              <w:t>① 국가는 생태계 또는 인간의 건강에 미치는 영향 등을 고려하여 환경기준을 설정하여야 하며, 환경 여건의 변화에 따라 그 적정성이 유지되도록 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환경정책기본법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제13조</w:t>
            </w:r>
          </w:p>
        </w:tc>
        <w:tc>
          <w:tcPr>
            <w:tcW w:type="pct" w:w="3500"/>
          </w:tcPr>
          <w:p>
            <w:pPr>
              <w:autoSpaceDE w:val="0"/>
              <w:autoSpaceDN w:val="0"/>
            </w:pPr>
            <w:r/>
            <w:r>
              <w:rPr>
                <w:rFonts w:ascii="맑은 고딕" w:hAnsi="맑은 고딕" w:eastAsia="맑은 고딕" w:cs="맑은 고딕"/>
                <w:b w:val="0"/>
                <w:color w:val="000000"/>
                <w:sz w:val="19"/>
              </w:rPr>
              <w:t>국가 및 지방자치단체는 환경에 관계되는 법령을 제정 또는 개정하거나 행정계획의 수립 또는 사업의 집행을 할 때에는 제12조에 따른 환경기준이 적절히 유지되도록 다음 사항을 고려하여야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제27조</w:t>
            </w:r>
          </w:p>
        </w:tc>
        <w:tc>
          <w:tcPr>
            <w:tcW w:type="pct" w:w="3500"/>
          </w:tcPr>
          <w:p>
            <w:pPr>
              <w:autoSpaceDE w:val="0"/>
              <w:autoSpaceDN w:val="0"/>
            </w:pPr>
            <w:r/>
            <w:r>
              <w:rPr>
                <w:rFonts w:ascii="맑은 고딕" w:hAnsi="맑은 고딕" w:eastAsia="맑은 고딕" w:cs="맑은 고딕"/>
                <w:b w:val="0"/>
                <w:color w:val="000000"/>
                <w:sz w:val="19"/>
              </w:rPr>
              <w:t>행정청의 재량에 속하는 처분이라도 재량권의 한계를 넘거나 그 남용이 있는 때에는 법원은 이를 취소할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행정소송법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제26조 [증명책임]</w:t>
            </w:r>
          </w:p>
        </w:tc>
        <w:tc>
          <w:tcPr>
            <w:tcW w:type="pct" w:w="3500"/>
          </w:tcPr>
          <w:p>
            <w:pPr>
              <w:autoSpaceDE w:val="0"/>
              <w:autoSpaceDN w:val="0"/>
            </w:pPr>
            <w:r/>
            <w:r>
              <w:rPr>
                <w:rFonts w:ascii="맑은 고딕" w:hAnsi="맑은 고딕" w:eastAsia="맑은 고딕" w:cs="맑은 고딕"/>
                <w:b w:val="0"/>
                <w:color w:val="000000"/>
                <w:sz w:val="19"/>
              </w:rPr>
              <w:t>법원은 필요하다고 인정할 때에는 직권으로 증거조사를 할 수 있고, 당사자가 주장하지 아니한 사실에 대하여도 판단할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w:t>
            </w:r>
          </w:p>
        </w:tc>
        <w:tc>
          <w:tcPr>
            <w:tcW w:type="pct" w:w="3500"/>
          </w:tcPr>
          <w:p>
            <w:pPr>
              <w:autoSpaceDE w:val="0"/>
              <w:autoSpaceDN w:val="0"/>
            </w:pPr>
            <w:r/>
            <w:r>
              <w:rPr>
                <w:rFonts w:ascii="맑은 고딕" w:hAnsi="맑은 고딕" w:eastAsia="맑은 고딕" w:cs="맑은 고딕"/>
                <w:b w:val="0"/>
                <w:color w:val="000000"/>
                <w:sz w:val="19"/>
              </w:rPr>
              <w:t>② 기후에너지환경부장관이나 시ㆍ도지사는 제1항에 따라 제출된 폐기물 처리사업계획서를 다음 각 호의 사항에 관하여 검토한 후 그 적합 여부를 폐기물처리사업계획서를 제출한 자에게 통보하여야 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https://www.law.go.kr/판례/(2023두38745)</w:t>
      </w:r>
    </w:p>
    <w:p>
      <w:pPr>
        <w:autoSpaceDE w:val="0"/>
        <w:autoSpaceDN w:val="0"/>
        <w:spacing w:before="80"/>
      </w:pPr>
      <w:r>
        <w:rPr>
          <w:rFonts w:ascii="맑은 고딕" w:hAnsi="맑은 고딕" w:eastAsia="맑은 고딕" w:cs="맑은 고딕"/>
          <w:color w:val="000000"/>
          <w:sz w:val="18"/>
        </w:rPr>
        <w:t>태그  #폐기물판례 #폐기물처리사업계획서 #반려처분 #행정판례 #대법원판례 #2023년판례 #2023두38745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