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‘오염토양’은 폐기물관리법상 폐기물이 아닙니다</w:t>
      </w:r>
    </w:p>
    <w:p>
      <w:pPr>
        <w:pStyle w:val="law1"/>
        <w:autoSpaceDE w:val="0"/>
        <w:autoSpaceDN w:val="0"/>
        <w:spacing w:after="160"/>
      </w:pPr>
      <w:r>
        <w:rPr>
          <w:rFonts w:ascii="맑은 고딕" w:hAnsi="맑은 고딕" w:eastAsia="맑은 고딕" w:cs="맑은 고딕"/>
          <w:color w:val="000000"/>
        </w:rPr>
        <w:t>대법원 2008도2907 (2011.05.26 선고)</w:t>
      </w:r>
    </w:p>
    <w:p>
      <w:pPr>
        <w:autoSpaceDE w:val="0"/>
        <w:autoSpaceDN w:val="0"/>
        <w:spacing w:after="120"/>
      </w:pPr>
      <w:r>
        <w:rPr>
          <w:rFonts w:ascii="맑은 고딕" w:hAnsi="맑은 고딕" w:eastAsia="맑은 고딕" w:cs="맑은 고딕"/>
          <w:color w:val="000000"/>
        </w:rPr>
        <w:t>○ 오염된 토양이 폐기물관리법의 규율 대상인 ‘폐기물’에 해당하는지가 문제된 사건입니다. 대법원은 오염토양은 폐기물이 아니며 별도의 정화 대상일 뿐이라고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오염된 토양도 폐기물관리법상 ‘폐기물’에 해당하나요?</w:t>
            </w:r>
          </w:p>
          <w:p>
            <w:pPr>
              <w:autoSpaceDE w:val="0"/>
              <w:autoSpaceDN w:val="0"/>
            </w:pPr>
            <w:r>
              <w:rPr>
                <w:rFonts w:ascii="맑은 고딕" w:hAnsi="맑은 고딕" w:eastAsia="맑은 고딕" w:cs="맑은 고딕"/>
                <w:b w:val="0"/>
                <w:color w:val="000000"/>
                <w:sz w:val="19"/>
              </w:rPr>
              <w:t>A. 아니요. 토양은 오염될 수 있는 대상일 뿐이고, 오염토양은 정화 대상이 될 뿐 폐기물에 해당하지 않습니다.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2008도2907</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2011.05.26</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당사자</w:t>
            </w:r>
          </w:p>
        </w:tc>
        <w:tc>
          <w:tcPr>
            <w:tcW w:type="pct" w:w="3800"/>
          </w:tcPr>
          <w:p>
            <w:pPr>
              <w:autoSpaceDE w:val="0"/>
              <w:autoSpaceDN w:val="0"/>
            </w:pPr>
            <w:r/>
            <w:r>
              <w:rPr>
                <w:rFonts w:ascii="맑은 고딕" w:hAnsi="맑은 고딕" w:eastAsia="맑은 고딕" w:cs="맑은 고딕"/>
                <w:b w:val="0"/>
                <w:color w:val="000000"/>
                <w:sz w:val="19"/>
              </w:rPr>
              <w:t>피고인 1 외 3인</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① 이 사건 공소사실을 모두 유죄로 인정하였으니, 원심판결에는 오염토양에 대한 적용 법률을 오해함으로써 판결에 영향을 미친 위법이 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u w:val="single"/>
        </w:rPr>
        <w:t>[1] ‘오염토양’이 구 폐기물관리법의 규율 대상인 ‘폐기물’에 해당하는지 여부(소극)</w:t>
      </w:r>
      <w:r>
        <w:rPr>
          <w:rFonts w:ascii="맑은 고딕" w:hAnsi="맑은 고딕" w:eastAsia="맑은 고딕" w:cs="맑은 고딕"/>
          <w:color w:val="000000"/>
        </w:rPr>
        <w:br/>
      </w:r>
      <w:r>
        <w:rPr>
          <w:rFonts w:ascii="맑은 고딕" w:hAnsi="맑은 고딕" w:eastAsia="맑은 고딕" w:cs="맑은 고딕"/>
          <w:color w:val="000000"/>
          <w:u w:val="single"/>
        </w:rPr>
        <w:t>[2] 피고인들이 오염된 토사를 처리하면서 구 폐기물관리법에서 정한 폐기물 처리절차를 위반하였다는 내용으로 기소된 사안에서, ‘오염토양’에 해당하는 토지가 구 폐기물관리법에 따른 처리 대상이 된다는 이유로 위 공소사실을 유죄로 인정한 원심판단에 적용 법률을 오해한 위법이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판단</w:t>
      </w:r>
    </w:p>
    <w:p>
      <w:pPr>
        <w:autoSpaceDE w:val="0"/>
        <w:autoSpaceDN w:val="0"/>
      </w:pPr>
      <w:r>
        <w:rPr>
          <w:rFonts w:ascii="맑은 고딕" w:hAnsi="맑은 고딕" w:eastAsia="맑은 고딕" w:cs="맑은 고딕"/>
          <w:color w:val="000000"/>
        </w:rPr>
        <w:t>① 판단한다.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② 구 폐기물관리법(2007. 4. 11. 법률 제8371호로 전부 개정되기 전의 것, 이하 같다)은 폐기물의 발생을 최대한 억제하고 발생한 폐기물을 적정 처리함을 목적으로 하는 법률로서(제1조), 위 법 제2조 제1호에 의하면 "폐기물"은 쓰레기·연소재·오니·폐유·폐산·폐알카리·동물의 사체 등으로서 사람의 생활이나 사업 활동에 필요하지 아니하게 된 물질을 의미한다.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③ 그리고 구 폐기물관리법 제2조 제2호, 제3호, 제4호 및 제4호의2에 의하면 폐기물은 다시 생활폐기물, 사업장폐기물, 사업장폐기물 중 대통령령 소정의 지정폐기물 및 기타 의료폐기물 등으로 나누어지는데, 구 폐기물관리법 시행령 제3조 및 [별표 1]에 의하면 지정폐기물은 폐합성고분자화합물 등 특정시설에서 발생되는 폐기물, 폐산과 폐알칼리 등 부식성폐기물, 광재, 분진, 폐주물사 및 샌드블라스트 폐사, 폐흡착제 및 폐흡수제(광물유·동물유 및 식물유의 정제에 사용된 폐토사 포함) 등 유해물질함유 폐기물, 폐유기용제, 폐페인트 및 폐락카, 폐유, 폐석면, 폴리클로리네이티드비페닐(PCBs) 함유 폐기물, 폐유독물, 감염성폐기물 기타 주변 환경을 오염시킬 수 있는 유해한 물질로서 환경부장관이 고시하는 물질 등으로 규정되어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④ 그러나 구 폐기물관리법은 물론 그 밖에 건설폐기물의 재활용촉진에 관한 법률과 그 각 시행령에서도 특정 공사나 작업에 사용된 토사만을 폐기물로 규정하고 있을 뿐, 자연 상태의 토양 자체를 구성하는 토사를 폐기물로 규정하고 있지는 아니하다.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⑤ 한편 토양환경보전법은 토양생태계의 보전을 위하여 오염된 토양을 정화하는 등 토양을 적정하게 관리·보전함을 목적으로 하는 법률로서(제1조), 위 법 제2조 제2호에 의하면 "토양오염물질"은 토양오염의 원인이 되는 ‘물질’로서 환경부령이 정하는 것을 의미하고, 위 법 제4조의2와 같은 법 제11조 제3항을 종합하면 "오염토양"은 토양오염물질이 축적되어 사람의 건강·재산, 동·식물의 생육에 지장을 주는 토양이라고 정의할 수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⑥ 그리고 토양환경보전법 제14조, 제15조, 제15조의2 내지 제15조의6 및 그 벌칙 규정에 의하면 오염토양에 대해서는 법령상 절차에 따른 정화가 시행되어야 하고 오염토양을 버리거나 누출·유출하는 행위는 금지된다.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⑦ 위 각 법령의 규정을 종합하면, 토양은 폐기물 기타 오염물질에 의하여 오염될 수 있는 대상일 뿐 오염토양이라 하여 동산으로서 ‘물질’인 폐기물에 해당한다고 할 수 없고, 나아가 오염토양은 법령상 절차에 따른 정화의 대상이 될 뿐 법령상 금지되거나 그와 배치되는 개념인 투기나 폐기의 대상이 된다고 할 수는 없다.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⑧ 따라서 오염토양 자체의 규율에 관하여는 ‘사람의 생활이나 사업 활동에 필요하지 아니하게 된 물질’의 처리를 목적으로 하는 구 폐기물관리법에서 그 처리를 위한 별도의 근거 규정을 두고 있지 아니한 이상 구 폐기물관리법의 규정은 성질상 적용될 수 없다 할 것이고, 이는 오염토양이 구 폐기물관리법상의 폐기물이나 그 구성요소인 오염물질과 섞인 상태로 되어 있다거나 그 부분 오염토양이 정화작업 등의 목적으로 해당 부지에서 반출되어 동산인 ‘물질’로서의 상태를 일시 갖추게 되었다 하더라도 마찬가지라 할 것이다.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⑨ 그럼에도 원심은 오염토양이 구 폐기물관리법의 규율 대상인 폐기물로 처리될 수 있음을 전제로, 구 폐기물관리법상 지정폐기물을 구성하는 오염물질인 폴리클로리네이티드비페닐(PCBs)이 법정기준치 이상 함유되어 있어 오염토양에 해당하는 이 사건 토지가 구 폐기물관리법에 의한 처리의 대상이 된다고 한 다음, 피고인들이 이 사건 토지의 오염된 토사를 처리함에 있어 구 폐기물관리법이 규정한 폐기물 처리절차를 위반하였음을 이유로 하는 이 사건 공소사실을 모두 유죄로 인정하였으니, 원심판결에는 오염토양에 대한 적용 법률을 오해함으로써 판결에 영향을 미친 위법이 있다.</w:t>
      </w:r>
      <w:r>
        <w:rPr>
          <w:rFonts w:ascii="맑은 고딕" w:hAnsi="맑은 고딕" w:eastAsia="맑은 고딕" w:cs="맑은 고딕"/>
          <w:color w:val="000000"/>
        </w:rPr>
        <w:br/>
      </w:r>
      <w:r>
        <w:rPr>
          <w:rFonts w:ascii="맑은 고딕" w:hAnsi="맑은 고딕" w:eastAsia="맑은 고딕" w:cs="맑은 고딕"/>
          <w:color w:val="000000"/>
        </w:rPr>
        <w:br/>
      </w:r>
      <w:r>
        <w:rPr>
          <w:rFonts w:ascii="맑은 고딕" w:hAnsi="맑은 고딕" w:eastAsia="맑은 고딕" w:cs="맑은 고딕"/>
          <w:color w:val="000000"/>
        </w:rPr>
        <w:t>⑩ 그러므로 상고이유에 대하여 나아가 살펴볼 필요 없이 원심판결을 파기하고, 사건을 다시 심리·판단하게 하기 위하여 원심법원에 환송하기로 하여 관여 대법관의 일치된 의견으로</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판결요지</w:t>
      </w:r>
    </w:p>
    <w:p>
      <w:pPr>
        <w:autoSpaceDE w:val="0"/>
        <w:autoSpaceDN w:val="0"/>
      </w:pPr>
      <w:r>
        <w:rPr>
          <w:rFonts w:ascii="맑은 고딕" w:hAnsi="맑은 고딕" w:eastAsia="맑은 고딕" w:cs="맑은 고딕"/>
          <w:color w:val="000000"/>
          <w:u w:val="single"/>
          <w:shd w:val="clear" w:color="auto" w:fill="FFF2CC"/>
        </w:rPr>
        <w:t>[1] 구 폐기물관리법(2007. 4. 11. 법률 제8371호로 전부 개정되기 전의 것, 이하 ‘구 폐기물관리법’이라 한다)과 구 폐기물관리법 시행령(2007. 9. 6. 대통령령 제20244호로 전부 개정되기 전의 것), 건설폐기물의 재활용촉진에 관한 법률과 그 시행령 및 토양환경보전법의 각 규정을 종합하면, 토양은 폐기물 기타 오염물질에 의하여 오염될 수 있는 대상일 뿐 오염토양이라 하여 동산으로서 ‘물질’인 폐기물에 해당한다고 할 수 없고, 나아가 오염토양은 법령상 절차에 따른 정화 대상이 될 뿐 법령상 금지되거나 그와 배치되는 개념인 투기나 폐기 대상이 된다고 할 수 없다. 따라서 오염토양 자체의 규율에 관하여는 ‘사람의 생활이나 사업 활동에 필요하지 아니하게 된 물질’의 처리를 목적으로 하는 구 폐기물관리법에서 처리를 위한 별도의 근거 규정을 두고 있지 아니한 이상 구 폐기물관리법의 규정은 성질상 적용될 수 없고, 이는 오염토양이 구 폐기물관리법상의 폐기물이나 구성요소인 오염물질과 섞인 상태로 되어 있다거나 그 부분 오염토양이 정화작업 등의 목적으로 해당 부지에서 반출되어 동산인 ‘물질’의 상태를 일시 갖추게 되었더라도 마찬가지이다.</w:t>
      </w:r>
      <w:r>
        <w:rPr>
          <w:rFonts w:ascii="맑은 고딕" w:hAnsi="맑은 고딕" w:eastAsia="맑은 고딕" w:cs="맑은 고딕"/>
          <w:color w:val="000000"/>
        </w:rPr>
        <w:br/>
      </w:r>
      <w:r>
        <w:rPr>
          <w:rFonts w:ascii="맑은 고딕" w:hAnsi="맑은 고딕" w:eastAsia="맑은 고딕" w:cs="맑은 고딕"/>
          <w:color w:val="000000"/>
          <w:u w:val="single"/>
          <w:shd w:val="clear" w:color="auto" w:fill="FFF2CC"/>
        </w:rPr>
        <w:t>[2] 피고인들이 택지개발지구에 있는 오염된 토사를 처리하면서 구 폐기물관리법(2007. 4. 11. 법률 제8371호로 전부 개정되기 전의 것, 이하 ‘구 폐기물관리법’이라 한다)에서 정한 폐기물 처리절차를 위반하였다는 내용으로 기소된 사안에서, ‘오염토양’이 구 폐기물관리법의 규율 대상인 폐기물로 처리될 수 있는 것을 전제로, 구 폐기물관리법상 지정폐기물에 해당하는 오염물질이 법정기준치 이상 함유되어 있어 오염토양에 해당하는 위 토지가 구 폐기물관리법에 따른 처리 대상이 된다는 이유로 위 공소사실을 유죄로 인정한 원심판단에 적용 법률을 오해한 위법이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6.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폐기물의 발생을 최대한 억제하고 발생한 폐기물을 친환경적으로 처리함으로써 환경보전과 국민생활의 질적 향상에 이바지하는 것을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제1호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제2호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제3호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제4호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제4호의2</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제3조</w:t>
            </w:r>
          </w:p>
        </w:tc>
        <w:tc>
          <w:tcPr>
            <w:tcW w:type="pct" w:w="3500"/>
          </w:tcPr>
          <w:p>
            <w:pPr>
              <w:autoSpaceDE w:val="0"/>
              <w:autoSpaceDN w:val="0"/>
            </w:pPr>
            <w:r/>
            <w:r>
              <w:rPr>
                <w:rFonts w:ascii="맑은 고딕" w:hAnsi="맑은 고딕" w:eastAsia="맑은 고딕" w:cs="맑은 고딕"/>
                <w:b w:val="0"/>
                <w:color w:val="000000"/>
                <w:sz w:val="19"/>
              </w:rPr>
              <w:t>법 제2조제4호에 따른 지정폐기물은 별표 1과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제3조 [별표 1]</w:t>
            </w:r>
          </w:p>
        </w:tc>
        <w:tc>
          <w:tcPr>
            <w:tcW w:type="pct" w:w="3500"/>
          </w:tcPr>
          <w:p>
            <w:pPr>
              <w:autoSpaceDE w:val="0"/>
              <w:autoSpaceDN w:val="0"/>
            </w:pPr>
            <w:r/>
            <w:r>
              <w:rPr>
                <w:rFonts w:ascii="맑은 고딕" w:hAnsi="맑은 고딕" w:eastAsia="맑은 고딕" w:cs="맑은 고딕"/>
                <w:b w:val="0"/>
                <w:color w:val="000000"/>
                <w:sz w:val="19"/>
              </w:rPr>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제1조</w:t>
            </w:r>
          </w:p>
        </w:tc>
        <w:tc>
          <w:tcPr>
            <w:tcW w:type="pct" w:w="3500"/>
          </w:tcPr>
          <w:p>
            <w:pPr>
              <w:autoSpaceDE w:val="0"/>
              <w:autoSpaceDN w:val="0"/>
            </w:pPr>
            <w:r/>
            <w:r>
              <w:rPr>
                <w:rFonts w:ascii="맑은 고딕" w:hAnsi="맑은 고딕" w:eastAsia="맑은 고딕" w:cs="맑은 고딕"/>
                <w:b w:val="0"/>
                <w:color w:val="000000"/>
                <w:sz w:val="19"/>
              </w:rPr>
              <w:t>이 법은 토양오염으로 인한 국민건강 및 환경상의 위해(危害)를 예방하고, 오염된 토양을 정화하는 등 토양을 적정하게 관리ㆍ보전함으로써 토양생태계를 보전하고, 자원으로서의 토양가치를 높이며, 모든 국민이 건강하고 쾌적한 삶을 누릴 수 있게 함을 목적으로 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 제2호</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 각 호와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제4조의2</w:t>
            </w:r>
          </w:p>
        </w:tc>
        <w:tc>
          <w:tcPr>
            <w:tcW w:type="pct" w:w="3500"/>
          </w:tcPr>
          <w:p>
            <w:pPr>
              <w:autoSpaceDE w:val="0"/>
              <w:autoSpaceDN w:val="0"/>
            </w:pPr>
            <w:r/>
            <w:r>
              <w:rPr>
                <w:rFonts w:ascii="맑은 고딕" w:hAnsi="맑은 고딕" w:eastAsia="맑은 고딕" w:cs="맑은 고딕"/>
                <w:b w:val="0"/>
                <w:color w:val="000000"/>
                <w:sz w:val="19"/>
              </w:rPr>
              <w:t>사람의 건강ㆍ재산이나 동물ㆍ식물의 생육에 지장을 줄 우려가 있는 토양오염의 기준(이하 "우려기준"이라 한다)은 기후에너지환경부령으로 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제11조 제3항</w:t>
            </w:r>
          </w:p>
        </w:tc>
        <w:tc>
          <w:tcPr>
            <w:tcW w:type="pct" w:w="3500"/>
          </w:tcPr>
          <w:p>
            <w:pPr>
              <w:autoSpaceDE w:val="0"/>
              <w:autoSpaceDN w:val="0"/>
            </w:pPr>
            <w:r/>
            <w:r>
              <w:rPr>
                <w:rFonts w:ascii="맑은 고딕" w:hAnsi="맑은 고딕" w:eastAsia="맑은 고딕" w:cs="맑은 고딕"/>
                <w:b w:val="0"/>
                <w:color w:val="000000"/>
                <w:sz w:val="19"/>
              </w:rPr>
              <w:t>③ 제2항의 조사를 한 결과 오염도가 우려기준을 넘는 토양(이하 "오염토양"이라 한다)에 대하여는 대통령령으로 정하는 바에 따라 기간을 정하여 정화책임자에게 토양관련전문기관에 의한 토양정밀조사의 실시, 오염토양의 정화 조치를 할 것을 명할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제14조</w:t>
            </w:r>
          </w:p>
        </w:tc>
        <w:tc>
          <w:tcPr>
            <w:tcW w:type="pct" w:w="3500"/>
          </w:tcPr>
          <w:p>
            <w:pPr>
              <w:autoSpaceDE w:val="0"/>
              <w:autoSpaceDN w:val="0"/>
            </w:pPr>
            <w:r/>
            <w:r>
              <w:rPr>
                <w:rFonts w:ascii="맑은 고딕" w:hAnsi="맑은 고딕" w:eastAsia="맑은 고딕" w:cs="맑은 고딕"/>
                <w:b w:val="0"/>
                <w:color w:val="000000"/>
                <w:sz w:val="19"/>
              </w:rPr>
              <w:t>① 특별자치시장ㆍ특별자치도지사ㆍ시장ㆍ군수ㆍ구청장은 특정토양오염관리대상시설의 설치자가 다음 각 호의 어느 하나에 해당하면 대통령령으로 정하는 바에 따라 기간을 정하여 토양오염방지시설의 설치 또는 개선이나 그 시설의 부지 및 주변지역에 대하여 토양관련전문기관에 의한 토양정밀조사 또는 오염토양의 정화 조치를 할 것을 명할 수 있다. ② 토양관련전문기관은 제1항에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w:t>
            </w:r>
          </w:p>
        </w:tc>
        <w:tc>
          <w:tcPr>
            <w:tcW w:type="pct" w:w="3500"/>
          </w:tcPr>
          <w:p>
            <w:pPr>
              <w:autoSpaceDE w:val="0"/>
              <w:autoSpaceDN w:val="0"/>
            </w:pPr>
            <w:r/>
            <w:r>
              <w:rPr>
                <w:rFonts w:ascii="맑은 고딕" w:hAnsi="맑은 고딕" w:eastAsia="맑은 고딕" w:cs="맑은 고딕"/>
                <w:b w:val="0"/>
                <w:color w:val="000000"/>
                <w:sz w:val="19"/>
              </w:rPr>
              <w:t>① 시ㆍ도지사 또는 시장ㆍ군수ㆍ구청장은 제5조제4항제1호 또는 제2호에 해당하는 지역의 정화책임자에 대하여 대통령령으로 정하는 바에 따라 기간을 정하여 토양관련전문기관으로부터 토양정밀조사를 받도록 명할 수 있다. ② 토양관련전문기관은 제1항에 따라 토양정밀조사를 하였을 때에는 정화책임자 및 관할 시ㆍ도지사 또는 시장ㆍ군수ㆍ구청장에게 조사 결과를 지체 없이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제15조의2</w:t>
            </w:r>
          </w:p>
        </w:tc>
        <w:tc>
          <w:tcPr>
            <w:tcW w:type="pct" w:w="3500"/>
          </w:tcPr>
          <w:p>
            <w:pPr>
              <w:autoSpaceDE w:val="0"/>
              <w:autoSpaceDN w:val="0"/>
            </w:pPr>
            <w:r/>
            <w:r>
              <w:rPr>
                <w:rFonts w:ascii="맑은 고딕" w:hAnsi="맑은 고딕" w:eastAsia="맑은 고딕" w:cs="맑은 고딕"/>
                <w:b w:val="0"/>
                <w:color w:val="000000"/>
                <w:sz w:val="19"/>
              </w:rPr>
              <w:t>①제11조제3항, 제14조제1항ㆍ제3항 또는 제15조제3항에 따라 조치명령 또는 중지명령을 받은 자가 그 명령을 이행하였을 때에는 기후에너지환경부령으로 정하는 바에 따라 지체 없이 이를 시ㆍ도지사 또는 시장ㆍ군수ㆍ구청장에게 보고하여야 한다. 이 경우 시ㆍ도지사 또는 시장ㆍ군수ㆍ구청장은 기후에너지환경부령으로 정하는 바에 따라 명령 이행 상태를 확인하여야 한다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제15조의3</w:t>
            </w:r>
          </w:p>
        </w:tc>
        <w:tc>
          <w:tcPr>
            <w:tcW w:type="pct" w:w="3500"/>
          </w:tcPr>
          <w:p>
            <w:pPr>
              <w:autoSpaceDE w:val="0"/>
              <w:autoSpaceDN w:val="0"/>
            </w:pPr>
            <w:r/>
            <w:r>
              <w:rPr>
                <w:rFonts w:ascii="맑은 고딕" w:hAnsi="맑은 고딕" w:eastAsia="맑은 고딕" w:cs="맑은 고딕"/>
                <w:b w:val="0"/>
                <w:color w:val="000000"/>
                <w:sz w:val="19"/>
              </w:rPr>
              <w:t>① 오염토양은 대통령령으로 정하는 정화기준 및 정화방법에 따라 정화하여야 한다. ② 오염토양은 토양정화업자(제3항 단서에 따라 오염토양을 반출하여 정화하는 경우에는 제23조의7제1항에 따라 반입하여 정화하는 시설을 등록한 토양정화업자를 말한다)에게 위탁하여 정화하여야 한다. 다만, 유기용제류(有機溶劑類)에 의한 오염토양 등 대통령령으로 정하는 종류와 규모에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제15조의4</w:t>
            </w:r>
          </w:p>
        </w:tc>
        <w:tc>
          <w:tcPr>
            <w:tcW w:type="pct" w:w="3500"/>
          </w:tcPr>
          <w:p>
            <w:pPr>
              <w:autoSpaceDE w:val="0"/>
              <w:autoSpaceDN w:val="0"/>
            </w:pPr>
            <w:r/>
            <w:r>
              <w:rPr>
                <w:rFonts w:ascii="맑은 고딕" w:hAnsi="맑은 고딕" w:eastAsia="맑은 고딕" w:cs="맑은 고딕"/>
                <w:b w:val="0"/>
                <w:color w:val="000000"/>
                <w:sz w:val="19"/>
              </w:rPr>
              <w:t>누구든지 다음 각 호의 어느 하나에 해당하는 행위를 하여서는 아니 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제15조의5</w:t>
            </w:r>
          </w:p>
        </w:tc>
        <w:tc>
          <w:tcPr>
            <w:tcW w:type="pct" w:w="3500"/>
          </w:tcPr>
          <w:p>
            <w:pPr>
              <w:autoSpaceDE w:val="0"/>
              <w:autoSpaceDN w:val="0"/>
            </w:pPr>
            <w:r/>
            <w:r>
              <w:rPr>
                <w:rFonts w:ascii="맑은 고딕" w:hAnsi="맑은 고딕" w:eastAsia="맑은 고딕" w:cs="맑은 고딕"/>
                <w:b w:val="0"/>
                <w:color w:val="000000"/>
                <w:sz w:val="19"/>
              </w:rPr>
              <w:t>① 기후에너지환경부장관, 시ㆍ도지사, 시장ㆍ군수ㆍ구청장 또는 정화책임자는 제23조의2제2항제1호에 따라 지정을 받은 위해성평가기관으로 하여금 오염물질의 종류 및 오염도, 주변 환경, 장래의 토지이용계획과 그 밖에 필요한 사항을 고려하여 해당 부지의 토양오염물질이 인체와 환경에 미치는 위해의 정도를 평가(이하 "위해성평가"라 한다)하게 한 후 그 결과를 토양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토양환경보전법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제15조의6</w:t>
            </w:r>
          </w:p>
        </w:tc>
        <w:tc>
          <w:tcPr>
            <w:tcW w:type="pct" w:w="3500"/>
          </w:tcPr>
          <w:p>
            <w:pPr>
              <w:autoSpaceDE w:val="0"/>
              <w:autoSpaceDN w:val="0"/>
            </w:pPr>
            <w:r/>
            <w:r>
              <w:rPr>
                <w:rFonts w:ascii="맑은 고딕" w:hAnsi="맑은 고딕" w:eastAsia="맑은 고딕" w:cs="맑은 고딕"/>
                <w:b w:val="0"/>
                <w:color w:val="000000"/>
                <w:sz w:val="19"/>
              </w:rPr>
              <w:t>① 정화책임자는 오염토양을 정화하기 위하여 토양정화업자에게 토양정화를 위탁하는 경우에는 제23조의2제2항제2호에 따라 지정을 받은 토양오염조사기관으로 하여금 정화과정 및 정화완료에 대한 검증을 하게 하여야 한다. 다만, 토양정밀조사를 한 결과 오염토양의 규모가 작거나 오염의 농도가 낮은 경우 등 오염토양이 대통령령으로 정하는 규모 및 종류에 해당하는 경우에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제1항</w:t>
            </w:r>
          </w:p>
        </w:tc>
        <w:tc>
          <w:tcPr>
            <w:tcW w:type="pct" w:w="3500"/>
          </w:tcPr>
          <w:p>
            <w:pPr>
              <w:autoSpaceDE w:val="0"/>
              <w:autoSpaceDN w:val="0"/>
            </w:pPr>
            <w:r/>
            <w:r>
              <w:rPr>
                <w:rFonts w:ascii="맑은 고딕" w:hAnsi="맑은 고딕" w:eastAsia="맑은 고딕" w:cs="맑은 고딕"/>
                <w:b w:val="0"/>
                <w:color w:val="000000"/>
                <w:sz w:val="19"/>
              </w:rPr>
              <w:t>①폐기물의 수집ㆍ운반, 재활용 또는 처분을 업(이하 "폐기물처리업"이라 한다)으로 하려는 자(음식물류 폐기물을 제외한 생활폐기물을 재활용하려는 자와 폐기물처리 신고자는 제외한다)는 기후에너지환경부령으로 정하는 바에 따라 지정폐기물을 대상으로 하는 경우에는 폐기물 처리 사업계획서를 기후에너지환경부장관에게 제출하고, 그 밖의 폐기물을 대상으로 하는 경우에는 시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제26조 제3항</w:t>
            </w:r>
          </w:p>
        </w:tc>
        <w:tc>
          <w:tcPr>
            <w:tcW w:type="pct" w:w="3500"/>
          </w:tcPr>
          <w:p>
            <w:pPr>
              <w:autoSpaceDE w:val="0"/>
              <w:autoSpaceDN w:val="0"/>
            </w:pPr>
            <w:r/>
            <w:r>
              <w:rPr>
                <w:rFonts w:ascii="맑은 고딕" w:hAnsi="맑은 고딕" w:eastAsia="맑은 고딕" w:cs="맑은 고딕"/>
                <w:b w:val="0"/>
                <w:color w:val="000000"/>
                <w:sz w:val="19"/>
              </w:rPr>
              <w:t>다음 각 호의 어느 하나에 해당하는 자는 폐기물처리업의 허가를 받거나 전용용기 제조업의 등록을 할 수 없다.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제59조 제1호</w:t>
            </w:r>
          </w:p>
        </w:tc>
        <w:tc>
          <w:tcPr>
            <w:tcW w:type="pct" w:w="3500"/>
          </w:tcPr>
          <w:p>
            <w:pPr>
              <w:autoSpaceDE w:val="0"/>
              <w:autoSpaceDN w:val="0"/>
            </w:pPr>
            <w:r/>
            <w:r>
              <w:rPr>
                <w:rFonts w:ascii="맑은 고딕" w:hAnsi="맑은 고딕" w:eastAsia="맑은 고딕" w:cs="맑은 고딕"/>
                <w:b w:val="0"/>
                <w:color w:val="000000"/>
                <w:sz w:val="19"/>
              </w:rPr>
              <w:t>① 다음 각 호의 어느 하나에 해당하는 자는 기후에너지환경부령으로 정하는 바에 따라 수수료를 내야 한다. ② 다음 각 호의 기관은 해당 호에서 정하는 자로부터 기후에너지환경부장관이 정하여 고시하는 바에 따라 수수료를 받을 수 있다.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제60조 제2호</w:t>
            </w:r>
          </w:p>
        </w:tc>
        <w:tc>
          <w:tcPr>
            <w:tcW w:type="pct" w:w="3500"/>
          </w:tcPr>
          <w:p>
            <w:pPr>
              <w:autoSpaceDE w:val="0"/>
              <w:autoSpaceDN w:val="0"/>
            </w:pPr>
            <w:r/>
            <w:r>
              <w:rPr>
                <w:rFonts w:ascii="맑은 고딕" w:hAnsi="맑은 고딕" w:eastAsia="맑은 고딕" w:cs="맑은 고딕"/>
                <w:b w:val="0"/>
                <w:color w:val="000000"/>
                <w:sz w:val="19"/>
              </w:rPr>
              <w:t>이 법 또는 이 법에 따른 명령을 위반한 행위에 대한 행정처분의 기준은 기후에너지환경부령으로 정한다.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제62조</w:t>
            </w:r>
          </w:p>
        </w:tc>
        <w:tc>
          <w:tcPr>
            <w:tcW w:type="pct" w:w="3500"/>
          </w:tcPr>
          <w:p>
            <w:pPr>
              <w:autoSpaceDE w:val="0"/>
              <w:autoSpaceDN w:val="0"/>
            </w:pPr>
            <w:r/>
            <w:r>
              <w:rPr>
                <w:rFonts w:ascii="맑은 고딕" w:hAnsi="맑은 고딕" w:eastAsia="맑은 고딕" w:cs="맑은 고딕"/>
                <w:b w:val="0"/>
                <w:color w:val="000000"/>
                <w:sz w:val="19"/>
              </w:rPr>
              <w:t>①이 법에 따른 기후에너지환경부장관의 권한은 대통령령으로 정하는 바에 따라 그 일부를 시ㆍ도지사 또는 소속 기관의 장에게 위임할 수 있다. ② 이 법에 따른 기후에너지환경부장관 또는 지방자치단체의 장의 업무는 대통령령으로 정하는 바에 따라 그 일부를 한국환경공단, 협회 등 관련 전문기관에 위탁할 수 있다.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https://www.law.go.kr/판례/(2008도2907)</w:t>
      </w:r>
    </w:p>
    <w:p>
      <w:pPr>
        <w:autoSpaceDE w:val="0"/>
        <w:autoSpaceDN w:val="0"/>
        <w:spacing w:before="80"/>
      </w:pPr>
      <w:r>
        <w:rPr>
          <w:rFonts w:ascii="맑은 고딕" w:hAnsi="맑은 고딕" w:eastAsia="맑은 고딕" w:cs="맑은 고딕"/>
          <w:color w:val="000000"/>
          <w:sz w:val="18"/>
        </w:rPr>
        <w:t>태그  #폐기물관리법판례 #형사판례 #대법원판례 #2011년판례 #2008도2907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