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법인 대표자의 폐기물법 위반, 양벌규정으로 법인을 처벌해도 합헌입니다</w:t>
      </w:r>
    </w:p>
    <w:p>
      <w:pPr>
        <w:pStyle w:val="law1"/>
        <w:autoSpaceDE w:val="0"/>
        <w:autoSpaceDN w:val="0"/>
        <w:spacing w:after="160"/>
      </w:pPr>
      <w:r>
        <w:rPr>
          <w:rFonts w:ascii="맑은 고딕" w:hAnsi="맑은 고딕" w:eastAsia="맑은 고딕" w:cs="맑은 고딕"/>
          <w:color w:val="000000"/>
        </w:rPr>
        <w:t>대법원 2009도3876 (2010.09.30 선고)</w:t>
      </w:r>
    </w:p>
    <w:p>
      <w:pPr>
        <w:autoSpaceDE w:val="0"/>
        <w:autoSpaceDN w:val="0"/>
        <w:spacing w:after="120"/>
      </w:pPr>
      <w:r>
        <w:rPr>
          <w:rFonts w:ascii="맑은 고딕" w:hAnsi="맑은 고딕" w:eastAsia="맑은 고딕" w:cs="맑은 고딕"/>
          <w:color w:val="000000"/>
        </w:rPr>
        <w:t>○ 폐기물관리법 양벌규정에 따라 대표자의 위반행위로 법인을 처벌하는 것이 형벌의 자기책임원칙에 반하는지가 문제된 사건입니다. 대법원은 대표자의 위반에 대한 법인의 책임은 법인 자신의 직접책임이므로 위헌이 아니라고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대표자의 폐기물법 위반으로 법인을 처벌하는 양벌규정은 위헌인가요?</w:t>
            </w:r>
          </w:p>
          <w:p>
            <w:pPr>
              <w:autoSpaceDE w:val="0"/>
              <w:autoSpaceDN w:val="0"/>
            </w:pPr>
            <w:r>
              <w:rPr>
                <w:rFonts w:ascii="맑은 고딕" w:hAnsi="맑은 고딕" w:eastAsia="맑은 고딕" w:cs="맑은 고딕"/>
                <w:b w:val="0"/>
                <w:color w:val="000000"/>
                <w:sz w:val="19"/>
              </w:rPr>
              <w:t>A. 아니요. 대표자의 책임을 요건으로 법인을 처벌하는 것은 법인의 직접책임을 묻는 것이어서 형벌의 자기책임원칙에 반하지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2009도3876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2010.09.30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폐기물관리법 제67조 제1항에서 ‘양벌규정’을 둔 취지 및 ‘법인 대표자’의 법규위반행위에 대한 ‘법인’ 책임의 법적 성격(=법인의 직접책임)</w:t>
      </w:r>
      <w:r>
        <w:rPr>
          <w:rFonts w:ascii="맑은 고딕" w:hAnsi="맑은 고딕" w:eastAsia="맑은 고딕" w:cs="맑은 고딕"/>
          <w:color w:val="000000"/>
        </w:rPr>
        <w:br/>
      </w:r>
      <w:r>
        <w:rPr>
          <w:rFonts w:ascii="맑은 고딕" w:hAnsi="맑은 고딕" w:eastAsia="맑은 고딕" w:cs="맑은 고딕"/>
          <w:color w:val="000000"/>
          <w:u w:val="single"/>
        </w:rPr>
        <w:t>[2] 폐기물관리법 제67조 제1항의 양벌규정 중 ‘법인의 대표자’ 관련 부분은 대표자의 책임을 요건으로 법인을 처벌하는 것이므로, 위 규정에 근거한 형사처벌이 형벌의 자기책임원칙에 반하여 헌법에 위배된다고 볼 수 없다고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상고이유를 살펴본다.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폐기물관리법 제67조 제1항(이하 ‘이 사건 법률조항’이라 한다)은 법인의 대표자가 그 법인의 업무에 관하여제63조부터제66조까지의 규정에 따른 위반행위를 하면 그 행위자를 벌할 뿐만 아니라 그 법인도 해당 조문의 벌금형을 과한다고 규정하여 법인의 대표자가 그 업무와 관련하여 위반행위를 저지른 경우 그 법인에 대하여도 처벌하는 양벌규정을 두고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폐기물관리법에서 위와 같이 양벌규정을 따로 둔 취지는, 이 사건 법률조항이 적용되는 위반행위는 통상 개인적인 차원보다는 법인의 업무와 관련하여 반복적·계속적으로 이루어질 가능성이 크다는 점을 감안하여, 법인의 대표자가 그 업무와 관련하여 위반행위를 저지른 경우에는 그 법인도 형사처벌 대상으로 삼음으로써 위와 같은 위반행위 발생을 방지하고 위 조항의 규범력을 확보하려는 데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또한, 법인은 기관을 통하여 행위하므로 법인이 대표자를 선임한 이상 그의 행위로 인한 법률효과는 법인에게 귀속되어야 하고, 법인 대표자의 범죄행위에 대하여는 법인 자신이 책임을 져야 하는바, 법인 대표자의 법규위반행위에 대한 법인의 책임은 법인 자신의 법규위반행위로 평가될 수 있는 행위에 대한 법인의 직접책임으로서, 대표자의 고의에 의한 위반행위에 대하여는 법인 자신의 고의에 의한 책임을, 대표자의 과실에 의한 위반행위에 대하여는 법인 자신의 과실에 의한 책임을 지는 것이다(헌법재판소 2010. 7. 29. 선고 2009헌가25 전원재판부 결정 참조). 따라서 이 사건 법률조항 중 법인의 대표자 관련 부분은 대표자의 책임을 요건으로 하여 법인을 처벌하는 것이므로 위 양벌규정에 근거한 형사처벌이 형벌의 자기책임원칙에 반하여 헌법에 위배된다고 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상고이유에서 지적하고 있는 헌법재판소 결정은 이 사건과 같이 법인의 대표자가 행위자인 경우가 아니라 법인 또는 개인의 대리인, 사용인 기타 종업원이 행위자인 경우에 관한 것으로서 이 사건에 그대로 원용하기에 부적절하다.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⑥ 원심판결 및 제1심판결이 채용한 증거들을 기록에 비추어 살펴보면, 원심이 그 판시와 같은 이유에서피고인 1이 이 사건 폐기물처리시설을 설치·사용하였고, 오염물질 자동측정기기를 부착하지 않은 채 조업한 행위자에 해당한다고 인정한 것은 정당하고, 거기에 상고이유에서 주장하는 바와 같은 채증법칙 위반 등의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그러므로 상고를 모두 기각하기로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대법관 이홍훈(재판장) 김능환 민일영(주심) 이인복</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제67조 제1항</w:t>
            </w:r>
          </w:p>
        </w:tc>
        <w:tc>
          <w:tcPr>
            <w:tcW w:type="pct" w:w="3500"/>
          </w:tcPr>
          <w:p>
            <w:pPr>
              <w:autoSpaceDE w:val="0"/>
              <w:autoSpaceDN w:val="0"/>
            </w:pPr>
            <w:r/>
            <w:r>
              <w:rPr>
                <w:rFonts w:ascii="맑은 고딕" w:hAnsi="맑은 고딕" w:eastAsia="맑은 고딕" w:cs="맑은 고딕"/>
                <w:b w:val="0"/>
                <w:color w:val="000000"/>
                <w:sz w:val="19"/>
              </w:rPr>
              <w:t>법인의 대표자나 법인 또는 개인의 대리인, 사용인, 그 밖의 종업원이 그 법인 또는 개인의 업무에 관하여 제63조부터 제66조까지의 어느 하나에 해당하는 위반행위를 하면 그 행위자를 벌하는 외에 그 법인 또는 개인에게도 해당 조문의 벌금형을 과(科)한다. 다만, 법인 또는 개인이 그 위반행위를 방지하기 위하여 해당 업무에 관하여 상당한 주의와 감독을 게을리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제1항</w:t>
            </w:r>
          </w:p>
        </w:tc>
        <w:tc>
          <w:tcPr>
            <w:tcW w:type="pct" w:w="3500"/>
          </w:tcPr>
          <w:p>
            <w:pPr>
              <w:autoSpaceDE w:val="0"/>
              <w:autoSpaceDN w:val="0"/>
            </w:pPr>
            <w:r/>
            <w:r>
              <w:rPr>
                <w:rFonts w:ascii="맑은 고딕" w:hAnsi="맑은 고딕" w:eastAsia="맑은 고딕" w:cs="맑은 고딕"/>
                <w:b w:val="0"/>
                <w:color w:val="000000"/>
                <w:sz w:val="19"/>
              </w:rPr>
              <w:t>① 범죄의 성립과 처벌은 행위 시의 법률에 따른다.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제10조</w:t>
            </w:r>
          </w:p>
        </w:tc>
        <w:tc>
          <w:tcPr>
            <w:tcW w:type="pct" w:w="3500"/>
          </w:tcPr>
          <w:p>
            <w:pPr>
              <w:autoSpaceDE w:val="0"/>
              <w:autoSpaceDN w:val="0"/>
            </w:pPr>
            <w:r/>
            <w:r>
              <w:rPr>
                <w:rFonts w:ascii="맑은 고딕" w:hAnsi="맑은 고딕" w:eastAsia="맑은 고딕" w:cs="맑은 고딕"/>
                <w:b w:val="0"/>
                <w:color w:val="000000"/>
                <w:sz w:val="19"/>
              </w:rPr>
              <w:t>① 위원회는 위원장과 부위원장 각 1명을 포함한 13명의 위원으로 구성한다. ② 위원회의 위원장을 포함한 9명의 위원은 변호사ㆍ교육자ㆍ학식과 덕망이 있는 사람 또는 시민단체(「비영리민간단체지원법」 제2조에 따른 비영리민간단체를 말한다)에서 추천한 사람 중에서, 부위원장을 포함한 4명의 위원은 헌법재판소 공무원 중에서 헌법재판소장이 위촉 또는 임명한다.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https://www.law.go.kr/판례/(2009도3876)</w:t>
      </w:r>
    </w:p>
    <w:p>
      <w:pPr>
        <w:autoSpaceDE w:val="0"/>
        <w:autoSpaceDN w:val="0"/>
        <w:spacing w:before="80"/>
      </w:pPr>
      <w:r>
        <w:rPr>
          <w:rFonts w:ascii="맑은 고딕" w:hAnsi="맑은 고딕" w:eastAsia="맑은 고딕" w:cs="맑은 고딕"/>
          <w:color w:val="000000"/>
          <w:sz w:val="18"/>
        </w:rPr>
        <w:t>태그  #폐기물관리법판례 #형사판례 #대법원판례 #2010년판례 #2009도3876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