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절차를 어긴 원상복구 시정명령, 위반해도 처벌할 수 없습니다</w:t>
      </w:r>
    </w:p>
    <w:p>
      <w:pPr>
        <w:pStyle w:val="law1"/>
        <w:autoSpaceDE w:val="0"/>
        <w:autoSpaceDN w:val="0"/>
        <w:spacing w:after="160"/>
      </w:pPr>
      <w:r>
        <w:rPr>
          <w:rFonts w:ascii="맑은 고딕" w:hAnsi="맑은 고딕" w:eastAsia="맑은 고딕" w:cs="맑은 고딕"/>
          <w:color w:val="000000"/>
        </w:rPr>
        <w:t>대법원 2017도7321 (2017.09.21 선고)</w:t>
      </w:r>
    </w:p>
    <w:p>
      <w:pPr>
        <w:autoSpaceDE w:val="0"/>
        <w:autoSpaceDN w:val="0"/>
        <w:spacing w:after="120"/>
      </w:pPr>
      <w:r>
        <w:rPr>
          <w:rFonts w:ascii="맑은 고딕" w:hAnsi="맑은 고딕" w:eastAsia="맑은 고딕" w:cs="맑은 고딕"/>
          <w:color w:val="000000"/>
        </w:rPr>
        <w:t>○ 개발제한구역 내 무단 고철 적치에 대한 원상복구 시정명령을 위반하여 처벌하려면 시정명령이 적법해야 하는지가 문제된 사건입니다. 대법원은 사전통지·의견제출 기회를 주지 않은 시정명령은 절차적 하자로 위법하여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원상복구 시정명령이 위법하면 이를 어겨도 처벌할 수 있나요?</w:t>
            </w:r>
          </w:p>
          <w:p>
            <w:pPr>
              <w:autoSpaceDE w:val="0"/>
              <w:autoSpaceDN w:val="0"/>
            </w:pPr>
            <w:r>
              <w:rPr>
                <w:rFonts w:ascii="맑은 고딕" w:hAnsi="맑은 고딕" w:eastAsia="맑은 고딕" w:cs="맑은 고딕"/>
                <w:b w:val="0"/>
                <w:color w:val="000000"/>
                <w:sz w:val="19"/>
              </w:rPr>
              <w:t>A. 아니요. 시정명령이 당연무효가 아니더라도 위법하면 위반죄가 성립하지 않습니다.</w:t>
            </w:r>
          </w:p>
          <w:p>
            <w:pPr>
              <w:autoSpaceDE w:val="0"/>
              <w:autoSpaceDN w:val="0"/>
            </w:pPr>
          </w:p>
          <w:p>
            <w:pPr>
              <w:autoSpaceDE w:val="0"/>
              <w:autoSpaceDN w:val="0"/>
            </w:pPr>
            <w:r>
              <w:rPr>
                <w:rFonts w:ascii="맑은 고딕" w:hAnsi="맑은 고딕" w:eastAsia="맑은 고딕" w:cs="맑은 고딕"/>
                <w:b/>
                <w:color w:val="000000"/>
                <w:sz w:val="19"/>
              </w:rPr>
              <w:t>Q. 사전통지나 의견제출 기회를 주지 않은 시정명령은 위법한가요?</w:t>
            </w:r>
          </w:p>
          <w:p>
            <w:pPr>
              <w:autoSpaceDE w:val="0"/>
              <w:autoSpaceDN w:val="0"/>
            </w:pPr>
            <w:r>
              <w:rPr>
                <w:rFonts w:ascii="맑은 고딕" w:hAnsi="맑은 고딕" w:eastAsia="맑은 고딕" w:cs="맑은 고딕"/>
                <w:b w:val="0"/>
                <w:color w:val="000000"/>
                <w:sz w:val="19"/>
              </w:rPr>
              <w:t>A. 네. 정당화 사유 없이 사전통지·의견제출 기회를 주지 않았다면 절차적 하자로 위법합니다.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2017도7321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2017.09.21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시정명령 불이행으로 인한 개발제한구역법 위반의 점에 기재된 바와 같이 피고인 1에게 고철 적치 행위 등에 대한 원상복구를 명하는 시정명령(이하 ‘이 사건 시정명령’이라 한다)을 하면서 위 피고인에 대하여 사전통지를 하지 아니하였을 뿐 아니라 의견제출 기회도 주지 아니하였고, 그러한 절차를 거치지 아니할 예외적인 사정도 없었음을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이러한 사실관계를 앞서 본 법리에 비추어 살펴보면, 행정청인 하남시장은 침해적 행정처분인 이 사건 시정명령을 하면서 피고인 1에게 행정절차법 제21조, 제22조에 따른 적법한 사전통지를 하거나 의견제출 기회를 부여하였다고 볼 수 없고 이를 정당화할 사유도 없으므로, 이 사건 시정명령은 절차적 하자가 있어 위법하고, 이 사건 시정명령이 당연무효가 아니더라도 위법한 것으로 인정되는 이상, 피고인 1이 그 시정명령을 이행하지 아니하였다 하더라도 피고인 1에 대하여 개발제한구역법 제32조 제2호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 1에 대하여 위 개발제한구역법위반죄가 성립하지 아니하므로 피고인 2 주식회사(이하 ‘피고인 회사’라 한다)에 대하여도 피고인 1의 시정명령 불이행으로 인한 개발제한구역법위반죄가 성립하지 아니한다.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이유만을 들어 이 사건 시정명령이 내려지기 이전에 피고인 1에게 행정절차법이 정한 사전통지나 의견제출 기회의 부여가 이루어지지 않았더라도 그러한 절차상 하자가 위 시정명령을 당연무효로 할 만큼 중대·명백하다고 단정하기 어려우므로 위 시정명령의 효력을 부정할 수 없다고 보아, 피고인들에 대한 이 사건 공소사실 중 이 사건 시정명령 불이행으로 인한 개발제한구역법위반 부분을 유죄로 인정한 제1심판결을 그대로 유지하였다.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개발제한구역의 지정 및 관리에 관한 특별조치법 제30조 제1항에 의하여 행정청으로부터 시정명령을 받은 자가 이를 위반한 경우, 같은 법 제32조 제2호에 정한 처벌을 하기 위하여는 시정명령이 적법하여야 하는지 여부(적극) / 시정명령이 당연무효는 아니지만 위법한 것으로 인정되는 경우, 같은 법 제32조 제2호 위반죄가 성립하는지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 위반으로 기소된 사안에서, 관할관청이 침해적 행정처분인 시정명령을 하면서 적법한 사전통지를 하거나 의견제출 기회를 부여하지 않았고 이를 정당화할 사유도 없어 시정명령은 절차적 하자가 있어 위법하므로, 피고인 乙에 대하여 같은 법 제32조 제2호 위반죄가 성립하지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판단에는 행정행위의 공정력과 선결문제, 개발제한구역법 제32조의 시정명령위반죄에 관한 법리를 오해하여 판결 결과에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이러한 취지의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피고인 1의 폐기물관리법위반죄에 관한 양형부당을 주장하는 상고이유에 대하여 원심판결에 양형조건이 되는 정상에 관한 채증법칙위반의 위법이 있다는 취지의 주장은 결국 양형부당 주장에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그런데 형사소송법 제383조 제4호에 의하면 사형, 무기 또는 10년 이상의 징역이나 금고가 선고된 사건에서만 양형부당을 사유로 한 상고가 허용되므로, 피고인 1에 대하여 그보다 가벼운 형이 선고된 이 사건에서 형의 양정이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파기의 범위 피고인 1 피고인 1에게는 제1심 판시 폐기물관리법위반죄(제1의 가.죄)와 물건 적치로 인한 개발제한구역법위반죄[제1의 나.(1)죄] 중간에 제1심 판시 첫머리에 기재된 확정판결의 전과가 있으므로 위 폐기물관리법위반죄는 판결이 확정된 죄와 형법 제37조 후단의 경합범 관계에 있어 나머지 부분이 파기된다 하더라도 그 부분의 죄는 별개로 심리·판단되고 또 분리되어 확정되는 관계에 있으므로(대법원 1999. 11. 12. 선고 99도2934 판결 등 참조), 원심판결 중 피고인 1의 위 폐기물관리법위반죄 부분에 대한 위 피고인의 상고는 기각되어야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원심판결 중 피고인 1에 대한 시정명령 불이행으로 인한 개발제한구역법위반 부분은 앞서 본 이유로 파기되어야 하는데, 원심은 이 부분과 피고인 1에 대한 나머지 개발제한구역법위반의 공소사실을 모두 유죄로 인정한 다음 이를 형법 제37조 전단의 경합범으로 보아 피고인 1의 위 각 죄에 대하여 1개의 형을 선고한 제1심판결을 유지하였으므로, 원심판결 중 피고인 1에 대한 제1심 판시 각 개발제한구역법위반죄 부분(제1의 나.죄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피고인 회사 원심판결 중 피고인 회사에 대한 시정명령 불이행으로 인한 개발제한구역법위반 부분은 앞서 본 이유로 파기되어야 하는데, 원심은 이 부분을 포함하여 피고인 회사에 대한 이 사건 공소사실을 모두 유죄로 인정한 다음 이를 형법 제37조 전단의 경합범으로 보아 피고인 회사에 대하여 1개의 형을 선고한 제1심판결을 유지하였으므로, 원심판결 중 피고인 회사에 대한 부분은 모두 파기되어야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개발제한구역의 지정 및 관리에 관한 특별조치법(이하 ‘개발제한구역법’이라 한다) 제30조 제1항에 의하여 행정청으로부터 시정명령을 받은 자가 이를 위반한 경우, 그로 인하여 개발제한구역법 제32조 제2호에 정한 처벌을 하기 위하여는 시정명령이 적법한 것이라야 하고, 시정명령이 당연무효가 아니더라도 위법한 것으로 인정되는 한 개발제한구역법 제32조 제2호 위반죄가 성립될 수 없다.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특별조치법(이하 ‘개발제한구역법’이라 한다) 위반으로 기소된 사안에서, 관할관청이 침해적 행정처분인 시정명령을 하면서 피고인 乙에게 행정절차법 제21조, 제22조에 따른 적법한 사전통지를 하거나 의견제출 기회를 부여하지 않았고 이를 정당화할 사유도 없으므로 시정명령은 절차적 하자가 있어 위법하고, 시정명령이 당연무효가 아니더라도 위법한 것으로 인정되는 이상 피고인 乙이 시정명령을 이행하지 아니하였더라도 피고인 乙에 대하여 개발제한구역법 제32조 제2호 위반죄가 성립하지 아니함에도, 이와 달리 보아 피고인들에게 유죄를 인정한 원심판단에 행정행위의 공정력과 선결문제, 개발제한구역법 제32조의 시정명령위반죄에 관한 법리오해의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 제1항</w:t>
            </w:r>
          </w:p>
        </w:tc>
        <w:tc>
          <w:tcPr>
            <w:tcW w:type="pct" w:w="3500"/>
          </w:tcPr>
          <w:p>
            <w:pPr>
              <w:autoSpaceDE w:val="0"/>
              <w:autoSpaceDN w:val="0"/>
            </w:pPr>
            <w:r/>
            <w:r>
              <w:rPr>
                <w:rFonts w:ascii="맑은 고딕" w:hAnsi="맑은 고딕" w:eastAsia="맑은 고딕" w:cs="맑은 고딕"/>
                <w:b w:val="0"/>
                <w:color w:val="000000"/>
                <w:sz w:val="19"/>
              </w:rPr>
              <w:t>① 시장ㆍ군수ㆍ구청장은 다음 각 호의 어느 하나에 해당하는 행위를 적발한 경우에는 그 허가를 취소할 수 있으며, 해당 행위자(위반행위에 이용된 건축물ㆍ공작물ㆍ토지의 소유자ㆍ관리자 또는 점유자를 포함한다. 이하 "위반행위자등"이라 한다)에 대하여 공사의 중지 또는 상당한 기간을 정하여 건축물ㆍ공작물 등의 철거ㆍ폐쇄ㆍ개축 또는 이전, 그 밖에 필요한 조치를 명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1년 이하의 징역 또는 1천만원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제31조 또는 제32조의 위반행위를 하면 그 행위자를 벌하는 외에 그 법인 또는 개인에게도 해당 조문의 벌금형을 과(科)한다. 다만, 법인 또는 개인이 그 위반행위를 방지하기 위하여 해당 업무에 관하여 상당한 주의와 감독을 게을리하지 아니한 경우에는 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 ② 행정청은 청문을 하려면 청문이 시작되는 날부터 10일 전까지 제1항 각 호의 사항을 당사자등에게 통지하여야 한다. 이 경우 제1항제4호부터 제6호까지의 사항은 청문 주재자의 소속ㆍ직위 및 성명, 청문의 일시 및 장소,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https://www.law.go.kr/판례/(2017도7321)</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#2017도7321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