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 사업계획서 적합 여부도 행정청의 광범위한 재량입니다</w:t>
      </w:r>
    </w:p>
    <w:p>
      <w:pPr>
        <w:pStyle w:val="law1"/>
        <w:autoSpaceDE w:val="0"/>
        <w:autoSpaceDN w:val="0"/>
        <w:spacing w:after="160"/>
      </w:pPr>
      <w:r>
        <w:rPr>
          <w:rFonts w:ascii="맑은 고딕" w:hAnsi="맑은 고딕" w:eastAsia="맑은 고딕" w:cs="맑은 고딕"/>
          <w:color w:val="000000"/>
        </w:rPr>
        <w:t>대법원 2017두46783 (2017.10.31 선고)</w:t>
      </w:r>
    </w:p>
    <w:p>
      <w:pPr>
        <w:autoSpaceDE w:val="0"/>
        <w:autoSpaceDN w:val="0"/>
        <w:spacing w:after="120"/>
      </w:pPr>
      <w:r>
        <w:rPr>
          <w:rFonts w:ascii="맑은 고딕" w:hAnsi="맑은 고딕" w:eastAsia="맑은 고딕" w:cs="맑은 고딕"/>
          <w:color w:val="000000"/>
        </w:rPr>
        <w:t>○ 건설폐기물 처리 사업계획서의 적합 여부를 판단할 때 검토사항과 재량 범위가 문제된 사건입니다. 대법원은 환경기준 유지 여부 등 생활·자연환경 영향을 두루 검토하는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건설폐기물 처리 사업계획서 적합 여부에도 행정청의 재량이 인정되나요?</w:t>
            </w:r>
          </w:p>
          <w:p>
            <w:pPr>
              <w:autoSpaceDE w:val="0"/>
              <w:autoSpaceDN w:val="0"/>
            </w:pPr>
            <w:r>
              <w:rPr>
                <w:rFonts w:ascii="맑은 고딕" w:hAnsi="맑은 고딕" w:eastAsia="맑은 고딕" w:cs="맑은 고딕"/>
                <w:b w:val="0"/>
                <w:color w:val="000000"/>
                <w:sz w:val="19"/>
              </w:rPr>
              <w:t>A. 네. 환경기준의 유지를 곤란하게 하는지 등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장래의 환경영향처럼 예측이 필요한 판단은 어떻게 심사하나요?</w:t>
            </w:r>
          </w:p>
          <w:p>
            <w:pPr>
              <w:autoSpaceDE w:val="0"/>
              <w:autoSpaceDN w:val="0"/>
            </w:pPr>
            <w:r>
              <w:rPr>
                <w:rFonts w:ascii="맑은 고딕" w:hAnsi="맑은 고딕" w:eastAsia="맑은 고딕" w:cs="맑은 고딕"/>
                <w:b w:val="0"/>
                <w:color w:val="000000"/>
                <w:sz w:val="19"/>
              </w:rPr>
              <w:t>A. 현저히 불합리하거나 형평·비례원칙에 뚜렷이 배치되지 않는 한 폭넓게 존중됩니다.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2017두46783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유성이앤티 · 피고 부산광역시 기장군수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시·도지사가 건설폐기물 처리업을 하려는 자에게서 제출받은 건설폐기물 처리 사업계획서의 적합 여부를 결정할 때 고려해야 할 검토 사항을 정한 건설폐기물의 재활용촉진에 관한 법률 제21조 제2항 각호의 규정 취지</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건설폐기물 처리 사업계획서의 적합 여부 결정을 위하여 건설폐기물의 재활용촉진에 관한 법률 제21조 제2항 제4호에서 정한 ‘환경기준의 유지를 곤란하게 하는지 여부’를 검토할 때 생활환경과 자연환경에 미치는 영향을 두루 검토하여 적합 여부를 판단할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건설폐기물 처리 사업계획서의 적합 여부 결정에 관하여 행정청에 광범위한 재량권이 인정되는지 여부(적극) 및 이때 재량권 일탈·남용 여부를 심사하는 방법 / 장래에 발생할 불확실한 상황과 파급효과에 대한 예측이 필요한 요건에 관한 행정청의 재량적 판단은 폭넓게 존중되어야 하는지 여부(원칙적 적극) 및 이는 건설폐기물 처리 사업계획서의 적합 여부 결정에 관한 재량권의 일탈·남용 여부를 심사하여 판단할 때에도 고려하여야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남쪽으로 불과 100m 떨어진 곳에 ‘좋음’ 등급의 장안천이 있고, 동쪽으로 400m 떨어진 지점에서부터 주택이 있으므로, 그 이격거리와 원고가 이 사건 사업예정지에 설치하고자 하는 건설폐기물 처리시설의 내역과 규모, 건설폐기물을 파쇄·분쇄하거나 재활용할 수 없는 나머지 폐기물을 소각하거나 매립하는 과정 등에 비추어 비산먼지 그 밖의 오염물질로 위 하천의 수질이 악화되는 등으로 환경기준의 유지가 곤란하게 될 우려 또는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이 사건 사업예정지 근처에 있는 장안일반산업단지 등에서 환경오염물질이 배출되고 있는 상황에서 이 사건 건설폐기물 처리사업으로 발생할 수 있는 환경오염물질로 인한 피해를 고려하면, 위와 같은 인근 주민의 피해는 참을 한도를 넘는다고 볼 여지가 있고, 그로 말미암은 민원 등 주민 간의 분쟁 가능성도 무시할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원심은 향후 건설폐기물로 인하여 인근지역 주민의 생활환경에 심각한 위해가 발생되거나 발생될 우려가 있는 경우 법령에 따라 영업정지처분을 하거나 과징금을 부과하는 등 사업의 운영단계에서 환경피해를 막기 위한 제재적 행정조치를 취할 수 있으므로, 환경피해에 대한 막연한 가능성, 인근 주민들의 탄원만을 이유로 사업계획서 부적합통보를 하는 것은 부당하다고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그러나 이러한 사후적 규제만으로는 충분하지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환경이 오염되면 원상회복이 거의 불가능한 경우가 많아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따라서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⑧ 위와 같은 사정을 앞에서 본 관련 법령과 법리, 환경권에 관한 헌법과 관련 법률, 그리고 적합 여부 결정에 관한 행정청 재량의 범위와 정도 등에 관한 법리에 비추어 살펴보면, 주변 환경에 대해 참을 한도를 넘는 침해의 우려나 그로 인한 주민들 사이의 분쟁 우려를 그 처분사유로 포함하고 있는 피고의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⑨ 그런데도 이 사건 처분이 위법하다는 원심의 판단에는 건설폐기물 처리 사업계획서 부적합통보 처분 관련 재량권 일탈·남용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⑩ 상고이유 중 이 점을 지적하는 주장은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상고이유의 나머지 주장에 대한 판단을 생략한 채, 원심판결을 파기하고, 사건을 다시 심리 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shd w:val="clear" w:color="auto" w:fill="FFF2CC"/>
        </w:rPr>
        <w:t>[1] 건설폐기물의 재활용촉진에 관한 법률(이하 ‘법’이라 한다) 제21조와 건설폐기물의 재활용촉진에 관한 법률 시행규칙(이하 ‘규칙’이라 한다) 제12조 제2항은 폐기물 처리업의 허가 등에 관하여 상세하게 규정하고 있다. 건설폐기물 처리업을 하려는 자는 허가신청에 앞서 사업의 개요와 시설·장비 설치 내역을 기재한 건설폐기물 처리 사업계획서와 함께 건설폐기물의 수집·운반 또는 중간처리계획서(시설설치계획, 장비·기술능력·사업장 부지의 확보계획 포함)를 첨부하여 시·도지사에게 제출하여야 한다(법 제21조 제1항, 규칙 제12조 제2항). 시·도지사는 서류를 제출받아 ‘건설폐기물 처리 사업계획서상의 시설, 장비, 기술능력 등이 허가기준에 맞는지 여부’, ‘건설폐기물 처리시설을 설치·운영하는 경우 환경정책기본법 제12조에 따른 환경기준의 유지를 곤란하게 하는지 여부’ 등 법 제21조 제2항 각호가 정한 여러 사항을 검토한 다음 적합 여부를 결정하여 통보하여야 한다(법 제21조 제2항). 이러한 절차에 따라 적합 통보를 받은 자는 비로소 환경부령으로 정하는 건물 또는 시설 등 기준을 갖추어 건설폐기물 처리업 허가를 받을 수 있다(법 제21조 제3항).</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이처럼 건설폐기물처리업에 관한 법규는 허가 요건을 일률적·확정적으로 규정하는 형식을 취하지 않고 최소한도만을 정하고 있다. 법 제21조 제2항 각호가 정한 검토 사항은 단순한 행정처분의 발령요건을 정한 것이라기보다는 위 적합 여부 판단·결정에 관한 재량권 행사에서 고려해야 할 다양한 사항의 범위와 기준을 좀 더 구체적이고 명확하게 정한 것으로 볼 수 있다. 그 취지는 건설폐기물 처리업 허가의 사전결정절차로서 중요한 의미를 가지는 폐기물 처리 사업계획서 적합 여부의 통보에 관한 행정작용의 투명성과 적법성을 제고하려는 데 있다.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[2] 행정청이 건설폐기물 처리 사업계획서의 적합 여부 결정을 위하여 ‘환경기준의 유지를 곤란하게 하는지 여부’를 검토할 때에는 사람의 건강이나 주변 환경에 영향을 미치는지 여부 등 생활환경과 자연환경에 미치는 영향을 두루 검토하여 적합 여부를 판단할 수 있다. 이것이 법률의 문언이나 입법 목적에 부합할 뿐만 아니라 헌법 규정과 관련 법령의 취지에도 합치된다.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[3] 행정청의 건설폐기물 처리 사업계획서에 대한 적합 여부 결정(이하 ‘적합 여부 결정’이라 한다)은 공익에 관한 판단을 해야 하는 것으로서 행정청에 광범위한 재량권이 인정된다. 적합 여부 결정과 관련한 재량권의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따라서 ‘자연환경·생활환경에 미치는 영향’과 같이 장래에 발생할 불확실한 상황과 파급효과에 대한 예측이 필요한 요건에 관한 행정청의 재량적 판단은 내용이 현저히 합리적이지 않다거나 상반되는 이익이나 가치를 대비해 볼 때 형평이나 비례의 원칙에 뚜렷하게 배치되는 등의 사정이 없는 한 폭넓게 존중될 필요가 있다. 이러한 사항은 적합 여부 결정에 관한 재량권의 일탈·남용 여부를 심사하여 판단할 때에도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건설폐기물 처리업을 하려는 자는 기후에너지환경부령으로 정하는 바에 따라 건설폐기물 처리 사업계획서를 시ㆍ도지사에게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제2항</w:t>
            </w:r>
          </w:p>
        </w:tc>
        <w:tc>
          <w:tcPr>
            <w:tcW w:type="pct" w:w="3500"/>
          </w:tcPr>
          <w:p>
            <w:pPr>
              <w:autoSpaceDE w:val="0"/>
              <w:autoSpaceDN w:val="0"/>
            </w:pPr>
            <w:r/>
            <w:r>
              <w:rPr>
                <w:rFonts w:ascii="맑은 고딕" w:hAnsi="맑은 고딕" w:eastAsia="맑은 고딕" w:cs="맑은 고딕"/>
                <w:b w:val="0"/>
                <w:color w:val="000000"/>
                <w:sz w:val="19"/>
              </w:rPr>
              <w:t>② 시ㆍ도지사는 제1항에 따라 건설폐기물 처리 사업계획서를 제출받은 경우 다음 각 호의 사항을 검토한 후 그 적합 여부를 건설폐기물 처리 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제2항에 따라 사업계획이 적합하다는 통보를 받은 자는 기후에너지환경부령으로 정하는 바에 따라 다음 각 호의 기준을 갖추어 시ㆍ도지사의 허가를 받아야 한다. 이 경우 시ㆍ도지사는 제2항에 따라 사업계획의 적합 통보를 받은 자가 해당 사업계획에 따라 시설, 장비, 기술능력 등의 요건을 갖추어 허가신청을 한 경우에는 지체 없이 허가하여야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제2항</w:t>
            </w:r>
          </w:p>
        </w:tc>
        <w:tc>
          <w:tcPr>
            <w:tcW w:type="pct" w:w="3500"/>
          </w:tcPr>
          <w:p>
            <w:pPr>
              <w:autoSpaceDE w:val="0"/>
              <w:autoSpaceDN w:val="0"/>
            </w:pPr>
            <w:r/>
            <w:r>
              <w:rPr>
                <w:rFonts w:ascii="맑은 고딕" w:hAnsi="맑은 고딕" w:eastAsia="맑은 고딕" w:cs="맑은 고딕"/>
                <w:b w:val="0"/>
                <w:color w:val="000000"/>
                <w:sz w:val="19"/>
              </w:rPr>
              <w:t>②법 제21조제1항에 따라 건설폐기물 처리업을 영위하고자 하는 자는 별지 제10호서식의 건설폐기물 처리 사업계획서에 다음의 서류를 첨부하여 건설폐기물 처리시설 설치예정지(수집ㆍ운반업의 경우에는 연락장소 또는 사무실 소재지)를 관할하는 시ㆍ도지사에게 제출하여야 한다. 건설폐기물 처리 사업계획서의 내용 중 허가기준에 관한 사항을 변경하고자 하는 때에도 또한 같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환경보전에 관한 국민의 권리ㆍ의무와 국가의 책무를 명확히 하고 환경정책의 기본 사항을 정하여 환경오염과 환경훼손을 예방하고 환경을 적정하고 지속가능하게 관리ㆍ보전함으로써 모든 국민이 건강하고 쾌적한 삶을 누릴 수 있도록 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①환경의 질적인 향상과 그 보전을 통한 쾌적한 환경의 조성 및 이를 통한 인간과 환경 간의 조화와 균형의 유지는 국민의 건강과 문화적인 생활의 향유 및 국토의 보전과 항구적인 국가발전에 반드시 필요한 요소임에 비추어 국가, 지방자치단체, 사업자 및 국민은 환경을 보다 양호한 상태로 유지ㆍ조성하도록 노력하고, 환경을 이용하는 모든 행위를 할 때에는 환경보전을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국가는 환경오염 및 환경훼손과 그 위해를 예방하고 환경을 적정하게 관리ㆍ보전하기 위하여 환경계획을 수립하여 시행할 책무를 진다. ② 지방자치단체는 관할 구역의 지역적 특성을 고려하여 국가의 환경계획에 따라 그 지방자치단체의 환경계획을 수립하여 이를 시행할 책무를 진다.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제5조</w:t>
            </w:r>
          </w:p>
        </w:tc>
        <w:tc>
          <w:tcPr>
            <w:tcW w:type="pct" w:w="3500"/>
          </w:tcPr>
          <w:p>
            <w:pPr>
              <w:autoSpaceDE w:val="0"/>
              <w:autoSpaceDN w:val="0"/>
            </w:pPr>
            <w:r/>
            <w:r>
              <w:rPr>
                <w:rFonts w:ascii="맑은 고딕" w:hAnsi="맑은 고딕" w:eastAsia="맑은 고딕" w:cs="맑은 고딕"/>
                <w:b w:val="0"/>
                <w:color w:val="000000"/>
                <w:sz w:val="19"/>
              </w:rPr>
              <w:t>사업자는 그 사업활동으로부터 발생하는 환경오염 및 환경훼손을 스스로 방지하기 위하여 필요한 조치를 하여야 하며, 국가 또는 지방자치단체의 환경보전시책에 참여하고 협력하여야 할 책무를 진다.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모든 국민은 건강하고 쾌적한 환경에서 생활할 권리를 가진다. ② 모든 국민은 국가 및 지방자치단체의 환경보전시책에 협력하여야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제217조 제1항</w:t>
            </w:r>
          </w:p>
        </w:tc>
        <w:tc>
          <w:tcPr>
            <w:tcW w:type="pct" w:w="3500"/>
          </w:tcPr>
          <w:p>
            <w:pPr>
              <w:autoSpaceDE w:val="0"/>
              <w:autoSpaceDN w:val="0"/>
            </w:pPr>
            <w:r/>
            <w:r>
              <w:rPr>
                <w:rFonts w:ascii="맑은 고딕" w:hAnsi="맑은 고딕" w:eastAsia="맑은 고딕" w:cs="맑은 고딕"/>
                <w:b w:val="0"/>
                <w:color w:val="000000"/>
                <w:sz w:val="19"/>
              </w:rPr>
              <w:t>①토지소유자는 매연, 열기체, 액체, 음향, 진동 기타 이에 유사한 것으로 이웃 토지의 사용을 방해하거나 이웃 거주자의 생활에 고통을 주지 아니하도록 적당한 조처를 할 의무가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https://www.law.go.kr/판례/(2017두46783)</w:t>
      </w:r>
    </w:p>
    <w:p>
      <w:pPr>
        <w:autoSpaceDE w:val="0"/>
        <w:autoSpaceDN w:val="0"/>
        <w:spacing w:before="80"/>
      </w:pPr>
      <w:r>
        <w:rPr>
          <w:rFonts w:ascii="맑은 고딕" w:hAnsi="맑은 고딕" w:eastAsia="맑은 고딕" w:cs="맑은 고딕"/>
          <w:color w:val="000000"/>
          <w:sz w:val="18"/>
        </w:rPr>
        <w:t>태그  #폐기물판례 #건설폐기물 #폐기물처리사업계획서 #부적합통보 #행정판례 #대법원판례 #2017년판례 #2017두46783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