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위법한 폐기물 조치명령은 위반해도 처벌할 수 없습니다</w:t>
      </w:r>
    </w:p>
    <w:p>
      <w:pPr>
        <w:pStyle w:val="law1"/>
        <w:autoSpaceDE w:val="0"/>
        <w:autoSpaceDN w:val="0"/>
        <w:spacing w:after="160"/>
      </w:pPr>
      <w:r>
        <w:rPr>
          <w:rFonts w:ascii="맑은 고딕" w:hAnsi="맑은 고딕" w:eastAsia="맑은 고딕" w:cs="맑은 고딕"/>
          <w:color w:val="000000"/>
        </w:rPr>
        <w:t>대법원 2023도12793 (2024.01.25 선고)</w:t>
      </w:r>
    </w:p>
    <w:p>
      <w:pPr>
        <w:autoSpaceDE w:val="0"/>
        <w:autoSpaceDN w:val="0"/>
        <w:spacing w:after="120"/>
      </w:pPr>
      <w:r>
        <w:rPr>
          <w:rFonts w:ascii="맑은 고딕" w:hAnsi="맑은 고딕" w:eastAsia="맑은 고딕" w:cs="맑은 고딕"/>
          <w:color w:val="000000"/>
        </w:rPr>
        <w:t>○ 폐기물 조치명령 위반죄로 처벌하려면 그 조치명령이 적법해야 하는지가 문제된 사건입니다. 대법원은 조치명령이 당연무효가 아니어도 위법하면(절차적 하자 포함) 위반죄가 성립하지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 조치명령이 위법하면 그 위반죄로 처벌할 수 있나요?</w:t>
            </w:r>
          </w:p>
          <w:p>
            <w:pPr>
              <w:autoSpaceDE w:val="0"/>
              <w:autoSpaceDN w:val="0"/>
            </w:pPr>
            <w:r>
              <w:rPr>
                <w:rFonts w:ascii="맑은 고딕" w:hAnsi="맑은 고딕" w:eastAsia="맑은 고딕" w:cs="맑은 고딕"/>
                <w:b w:val="0"/>
                <w:color w:val="000000"/>
                <w:sz w:val="19"/>
              </w:rPr>
              <w:t>A. 아니요. 조치명령이 당연무효가 아니더라도 위법하면 위반죄가 성립하지 않으며, 절차적 하자로 위법한 경우도 같습니다.</w:t>
            </w:r>
          </w:p>
          <w:p>
            <w:pPr>
              <w:autoSpaceDE w:val="0"/>
              <w:autoSpaceDN w:val="0"/>
            </w:pPr>
          </w:p>
          <w:p>
            <w:pPr>
              <w:autoSpaceDE w:val="0"/>
              <w:autoSpaceDN w:val="0"/>
            </w:pPr>
            <w:r>
              <w:rPr>
                <w:rFonts w:ascii="맑은 고딕" w:hAnsi="맑은 고딕" w:eastAsia="맑은 고딕" w:cs="맑은 고딕"/>
                <w:b/>
                <w:color w:val="000000"/>
                <w:sz w:val="19"/>
              </w:rPr>
              <w:t>Q. 사전통지·의견제출 기회를 주지 않은 조치명령도 위법한가요?</w:t>
            </w:r>
          </w:p>
          <w:p>
            <w:pPr>
              <w:autoSpaceDE w:val="0"/>
              <w:autoSpaceDN w:val="0"/>
            </w:pPr>
            <w:r>
              <w:rPr>
                <w:rFonts w:ascii="맑은 고딕" w:hAnsi="맑은 고딕" w:eastAsia="맑은 고딕" w:cs="맑은 고딕"/>
                <w:b w:val="0"/>
                <w:color w:val="000000"/>
                <w:sz w:val="19"/>
              </w:rPr>
              <w:t>A. 네. 침해적 처분을 하면서 사전통지나 의견청취를 하지 않으면 원칙적으로 위법하고, 위반사실을 이미 시인했다는 사정만으로 예외가 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2023도12793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2024.01.25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경기도 광주시장은 2021. 5. 3.경 피고인에게 광주시 (주소 1 생략), (주소 2 생략)(이하 ‘이 사건 토지’라고 한다)에 불법 적치한 사업장폐기물 약 1,949t을 2021. 8. 31.경까지 적법하게 처리하고 원상복구하도록 명하는 조치명령(이하 ‘2차 조치명령’이라고 한다)을 하였으나 피고인이 위 2021. 8. 31.경까지 2차 조치명령을 이행하지 아니하였다.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구 폐기물관리법 제48조 제1호에 따라 행정청으로부터 폐기물 처리에 대한 조치명령을 받은 자가 이를 위반한 경우에 같은 법 제65조 제10호에 정한 처벌을 하기 위해서는 조치명령이 적법하여야 하는지 여부(적극) / 위 조치명령이 당연무효는 아니지만 위법하다고 인정되는 경우, 같은 법 제65조 제10호 위반죄가 성립하는지 여부(소극) 및 조치명령이 절차적 하자로 인하여 위법한 경우에도 마찬가지인지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행정청이 침해적 행정처분을 하면서 당사자에게 행정절차법 제21조, 제22조에서 정한 사전통지를 하거나 의견제출의 기회를 주지 아니한 경우, 그 처분이 위법한지 여부(원칙적 적극) / 행정절차법 제21조 제4항에서 사전통지나 의견청취를 하지 않을 수 있는 예외사유 중 하나로 규정한 ‘의견청취가 현저히 곤란하거나 명백히 불필요하다고 인정될 만한 상당한 이유가 있는 경우’에 해당하는지 판단하는 기준 및 이때 처분상대방이 이미 행정청에 위반사실을 시인하였다거나 처분의 사전통지 이전에 의견을 진술할 기회가 있었다는 사정을 고려하여야 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u w:val="single"/>
          <w:shd w:val="clear" w:color="auto" w:fill="FFF2CC"/>
        </w:rPr>
        <w:t>① 원심의 판단 원심은, 2차 조치명령이 적법하다는 전제하에 피고인이 위 2021. 8. 31.경까지 2차 조치명령을 이행하지 않았다는 이유로 이 부분 공소사실을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대법원의 판단 관련 법리 구 폐기물관리법(2015. 7. 20. 법률 제13411호로 개정되기 전의 것, 이하 같다) 제48조 제1호에 따라 행정청으로부터 폐기물 처리에 대한 조치명령을 받은 자가 이를 위반한 경우, 그로 인하여 구 폐기물관리법 제65조 제10호에 정한 처벌을 하기 위해서는 조치명령이 적법한 것이라야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③ 따라서 그 조치명령이 당연무효가 아니더라도 위법한 것으로 인정되면 구 폐기물관리법 제65조 제10호 위반죄가 성립될 수 없고, 조치명령이 절차적 하자로 인하여 위법한 경우에도 마찬가지이다(대법원 2017. 9. 21. 선고 2014도12230 판결, 대법원 2020. 2. 27. 선고 2018도3547 판결 참조). 한편 행정절차법의 규정은 다음과 같다. ① 행정청이 당사자에게 의무를 부과하거나 권익을 제한하는 처분을 하는 경우에는 미리 ‘처분의 제목’, ‘당사자의 성명 또는 명칭과 주소’, ‘처분하려는 원인이 되는 사실과 처분의 내용 및 법적 근거’, ‘이에 대하여 의견을 제출할 수 있다는 뜻과 의견을 제출하지 아니하는 경우의 처리방법’, ‘의견제출기관의 명칭과 주소’, ‘의견제출기한’ 등의 사항을 당사자 등에게 통지하여야 한다(제21조 제1항). ② 의견제출기한은 의견제출에 필요한 상당한 기간을 고려하여 정하여야 한다(제21조 제3항). ③ 다른 법령 등에서 필수적으로 청문을 하거나 공청회를 개최하도록 규정하고 있지 아니한 경우에도 당사자 등에게 의견제출의 기회를 주어야 하되, 다만 ‘공공의 안전 또는 복리를 위하여 긴급히 처분을 할 필요가 있는 경우, 법령 등에서 요구된 자격이 없거나 없어지게 되면 반드시 일정한 처분을 하여야 하는 경우에 그 자격이 없거나 없어지게 된 사실이 법원의 재판 등에 의하여 객관적으로 증명된 경우, 해당 처분의 성질상 의견청취가 현저히 곤란하거나 명백히 불필요하다고 인정될 만한 상당한 이유가 있는 경우’에 한하여 처분의 사전통지나 의견청취를 하지 아니할 수 있다(제21조 제4항, 제22조). 따라서 행정청이 침해적 행정처분을 하면서 당사자에게 사전통지를 하거나 의견제출의 기회를 주지 아니하였다면, 사전통지나 의견청취를 하지 않을 수 있는 예외적인 경우에 해당하지 아니하는 한, 처분은 위법하여 취소를 면할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④ 여기서 ‘의견청취가 현저히 곤란하거나 명백히 불필요하다고 인정될 만한 상당한 이유가 있는 경우’에 해당하는지는 해당 행정처분의 성질에 비추어 판단하여야 하고, 처분상대방이 이미 행정청에 위반사실을 시인하였다거나 처분의 사전통지 이전에 의견을 진술할 기회가 있었다는 사정을 고려하여 판단할 것은 아니다(대법원 2016. 10. 27. 선고 2016두41811 판결, 대법원 2020. 2. 27. 선고 2018도3547 판결 참조). 인정 사실 원심판결 이유와 기록에 의하면 아래의 사실을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가) 피고인은 광주시장으로부터 2020. 6. 29.경 ‘2020. 10. 30.까지 이 사건 토지에 불법 적치한 이 사건 폐기물을 적법하게 처리하라.’는 내용의 조치명령(이하 ‘1차 조치명령’이라고 한다)을 받았고, 2020. 9. 3. 그 처리기한을 2020. 12. 31.까지로 연장받았으나, 이를 이행하지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나) 피고인은 2021. 5. 3.경 광주시장으로부터 다시 ‘2021. 8. 31.까지 이 사건 토지에 불법 적치한 이 사건 폐기물을 적법하게 처리하라.’는 내용의 2차 조치명령을 받았으나 그 처리기한까지 이를 이행하지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다) 피고인은 1차 조치명령 불이행으로 인한 폐기물관리법 위반으로 수원지방법원 성남지원 2021고단2974 사건으로 공소제기되었고, 2차 조치명령 불이행으로 인한 폐기물관리법 위반으로 같은 지원 2022고단154 사건으로 공소제기되었으며, 1심에서 위 두 사건이 병합되었다.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라) 한편 광주시장은 1차 조치명령 전인 2020. 6. 23. 피고인에게 처분하려는 원인이 되는 사실, 처분의 내용 및 의견제출기한 등을 기재한 사전통지서를 발송하였으나, 2차 조치명령 전에 피고인에 대하여 사전통지 또는 의견청취 절차를 거쳤는지 여부에 관하여 확인할 수 있는 증거나 정황이 보이지 않는다.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마) 피고인은 제1심법원의 제2회 공판기일에서 1, 2차 조치명령의 위법 여부에 관한 진술 없이 단지 1, 2차 조치명령 불이행으로 인한 각 폐기물관리법 위반 부분에 대한 공소사실을 인정한다고 진술하였다.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⑩ 판단 위 사실관계를 앞서 본 행정절차법 규정 및 법리에 비추어 살펴보면, 광주시장이 1차 조치명령 전에 사전통지를 통해 의견제출기회를 부여하였더라도 별개의 침해적 행정처분인 2차 조치명령을 하면서 피고인에 대하여 행정절차법 제21조, 제22조에 따른 적법한 사전통지나 의견청취 절차를 누락하였다면 이러한 2차 조치명령은 원칙적으로 위법하고 피고인이 이를 이행하지 않더라도 2차 조치명령 불이행으로 인한 폐기물관리법 위반죄가 성립할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그런데도 원심은 광주시장이 2차 조치명령 전에 사전통지 또는 의견청취 절차를 거쳤는지, 2차 조치명령의 성질에 비추어 행정절차법 제21조 제4항에 따라 그러한 절차를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제10호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제1항</w:t>
            </w:r>
          </w:p>
        </w:tc>
        <w:tc>
          <w:tcPr>
            <w:tcW w:type="pct" w:w="3500"/>
          </w:tcPr>
          <w:p>
            <w:pPr>
              <w:autoSpaceDE w:val="0"/>
              <w:autoSpaceDN w:val="0"/>
            </w:pPr>
            <w:r/>
            <w:r>
              <w:rPr>
                <w:rFonts w:ascii="맑은 고딕" w:hAnsi="맑은 고딕" w:eastAsia="맑은 고딕" w:cs="맑은 고딕"/>
                <w:b w:val="0"/>
                <w:color w:val="000000"/>
                <w:sz w:val="19"/>
              </w:rPr>
              <w:t>① 행정청은 당사자에게 의무를 부과하거나 권익을 제한하는 처분을 하는 경우에는 미리 다음 각 호의 사항을 당사자등에게 통지하여야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제3항</w:t>
            </w:r>
          </w:p>
        </w:tc>
        <w:tc>
          <w:tcPr>
            <w:tcW w:type="pct" w:w="3500"/>
          </w:tcPr>
          <w:p>
            <w:pPr>
              <w:autoSpaceDE w:val="0"/>
              <w:autoSpaceDN w:val="0"/>
            </w:pPr>
            <w:r/>
            <w:r>
              <w:rPr>
                <w:rFonts w:ascii="맑은 고딕" w:hAnsi="맑은 고딕" w:eastAsia="맑은 고딕" w:cs="맑은 고딕"/>
                <w:b w:val="0"/>
                <w:color w:val="000000"/>
                <w:sz w:val="19"/>
              </w:rPr>
              <w:t>③ 제1항제6호에 따른 기한은 의견제출에 필요한 기간을 10일 이상으로 고려하여 정하여야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제4항</w:t>
            </w:r>
          </w:p>
        </w:tc>
        <w:tc>
          <w:tcPr>
            <w:tcW w:type="pct" w:w="3500"/>
          </w:tcPr>
          <w:p>
            <w:pPr>
              <w:autoSpaceDE w:val="0"/>
              <w:autoSpaceDN w:val="0"/>
            </w:pPr>
            <w:r/>
            <w:r>
              <w:rPr>
                <w:rFonts w:ascii="맑은 고딕" w:hAnsi="맑은 고딕" w:eastAsia="맑은 고딕" w:cs="맑은 고딕"/>
                <w:b w:val="0"/>
                <w:color w:val="000000"/>
                <w:sz w:val="19"/>
              </w:rPr>
              <w:t>④ 다음 각 호의 어느 하나에 해당하는 경우에는 제1항에 따른 통지를 하지 아니할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행정청이 처분을 할 때 다음 각 호의 어느 하나에 해당하는 경우에는 청문을 한다. ② 행정청이 처분을 할 때 다음 각 호의 어느 하나에 해당하는 경우에는 공청회를 개최한다.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https://www.law.go.kr/판례/(2023도12793)</w:t>
      </w:r>
    </w:p>
    <w:p>
      <w:pPr>
        <w:autoSpaceDE w:val="0"/>
        <w:autoSpaceDN w:val="0"/>
        <w:spacing w:before="80"/>
      </w:pPr>
      <w:r>
        <w:rPr>
          <w:rFonts w:ascii="맑은 고딕" w:hAnsi="맑은 고딕" w:eastAsia="맑은 고딕" w:cs="맑은 고딕"/>
          <w:color w:val="000000"/>
          <w:sz w:val="18"/>
        </w:rPr>
        <w:t>태그  #폐기물관리법판례 #형사판례 #대법원판례 #2024년판례 #2023도12793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