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spacing w:after="40"/>
      </w:pPr>
      <w:r>
        <w:rPr>
          <w:rFonts w:ascii="맑은 고딕" w:hAnsi="맑은 고딕" w:eastAsia="맑은 고딕"/>
          <w:b/>
          <w:sz w:val="30"/>
        </w:rPr>
        <w:t>사업장비배출시설계 폐기물이란</w:t>
      </w:r>
    </w:p>
    <w:p>
      <w:pPr>
        <w:pStyle w:val="law1"/>
      </w:pPr>
      <w:r>
        <w:rPr>
          <w:rFonts w:ascii="맑은 고딕" w:hAnsi="맑은 고딕" w:eastAsia="맑은 고딕"/>
        </w:rPr>
        <w:t>폐기물관리법 · 같은 법 시행령 · 같은 법 시행규칙</w:t>
      </w:r>
    </w:p>
    <w:p>
      <w:pPr>
        <w:pStyle w:val="2"/>
      </w:pPr>
      <w:r>
        <w:rPr>
          <w:rFonts w:ascii="맑은 고딕" w:hAnsi="맑은 고딕" w:eastAsia="맑은 고딕"/>
        </w:rPr>
        <w:t>1. 한눈에 보는 정의</w:t>
      </w:r>
    </w:p>
    <w:p>
      <w:pPr>
        <w:spacing w:after="80"/>
      </w:pPr>
      <w:r>
        <w:rPr>
          <w:rFonts w:ascii="맑은 고딕" w:hAnsi="맑은 고딕" w:eastAsia="맑은 고딕"/>
          <w:color w:val="000000"/>
          <w:sz w:val="19"/>
        </w:rPr>
        <w:t>배출시설계와 비배출시설계는 '시설에서 나왔느냐'로 갈립니다. 아래 한 표로 정리했습니다.</w:t>
      </w:r>
    </w:p>
    <w:tbl>
      <w:tblPr>
        <w:tblW w:w="5000" w:type="pct"/>
        <w:tblCellSpacing w:w="15" w:type="dxa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0" w:lastColumn="0" w:noHBand="0" w:noVBand="1"/>
      </w:tblPr>
      <w:tblGrid>
        <w:gridCol w:w="1500"/>
        <w:gridCol w:w="6900"/>
        <w:gridCol w:w="2100"/>
      </w:tblGrid>
      <w:tr>
        <w:tc>
          <w:tcPr>
            <w:tcW w:type="dxa" w:w="150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구분</w:t>
            </w:r>
          </w:p>
        </w:tc>
        <w:tc>
          <w:tcPr>
            <w:tcW w:type="dxa" w:w="690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포함되는 시설 또는 사업장</w:t>
            </w:r>
          </w:p>
        </w:tc>
        <w:tc>
          <w:tcPr>
            <w:tcW w:type="dxa" w:w="2100"/>
            <w:vAlign w:val="center"/>
            <w:shd w:val="clear" w:color="auto" w:fill="EDEDED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20"/>
              </w:rPr>
              <w:t>근거</w:t>
            </w:r>
          </w:p>
        </w:tc>
      </w:tr>
      <w:tr>
        <w:tc>
          <w:tcPr>
            <w:tcW w:type="dxa" w:w="15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사업장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배출시설계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폐기물</w:t>
            </w:r>
          </w:p>
        </w:tc>
        <w:tc>
          <w:tcPr>
            <w:tcW w:type="dxa" w:w="6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① 대기 · 물환경 · 소음진동 배출시설 (법 제2조제3호)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② 공공폐수처리시설 (영 제2조제1호)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③ 공공하수처리시설 (영 제2조제2호)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④ 분뇨처리시설 (영 제2조제3호)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⑤ 가축분뇨 공공처리시설 (영 제2조제4호)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⑥ 폐기물처리시설 (영 제2조제5호)</w:t>
            </w:r>
          </w:p>
        </w:tc>
        <w:tc>
          <w:tcPr>
            <w:tcW w:type="dxa" w:w="21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법 제2조제3호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영 제2조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제1호~제5호</w:t>
            </w:r>
          </w:p>
        </w:tc>
      </w:tr>
      <w:tr>
        <w:tc>
          <w:tcPr>
            <w:tcW w:type="dxa" w:w="15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사업장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비배출시설계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000000"/>
                <w:sz w:val="19"/>
              </w:rPr>
              <w:t>폐기물</w:t>
            </w:r>
          </w:p>
        </w:tc>
        <w:tc>
          <w:tcPr>
            <w:tcW w:type="dxa" w:w="69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① 위 배출시설계 폐기물을 뺀 나머지 폐기물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 xml:space="preserve">    (예: 배출시설이 있는 공장의 사무실 · 구내식당 쓰레기)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② 1일 평균 300kg 이상 배출 사업장 (영 제2조제7호)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③ 일련의 공사나 작업으로 5톤 이상 배출 사업장 (영 제2조제9호)</w:t>
            </w:r>
          </w:p>
        </w:tc>
        <w:tc>
          <w:tcPr>
            <w:tcW w:type="dxa" w:w="210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영 제2조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9"/>
              </w:rPr>
              <w:t>제7호 · 제9호</w:t>
            </w:r>
          </w:p>
        </w:tc>
      </w:tr>
    </w:tbl>
    <w:p>
      <w:pPr>
        <w:pStyle w:val="note"/>
      </w:pPr>
      <w:r>
        <w:rPr>
          <w:rFonts w:ascii="맑은 고딕" w:hAnsi="맑은 고딕" w:eastAsia="맑은 고딕"/>
        </w:rPr>
        <w:t>※ 지정폐기물(영 제2조제6호)과 건설폐기물(영 제2조제8호)은 이 구분과 별개의 범주입니다.</w:t>
      </w:r>
    </w:p>
    <w:p>
      <w:pPr>
        <w:pStyle w:val="2"/>
      </w:pPr>
      <w:r>
        <w:rPr>
          <w:rFonts w:ascii="맑은 고딕" w:hAnsi="맑은 고딕" w:eastAsia="맑은 고딕"/>
        </w:rPr>
        <w:t>2. 법으로 풀어보기</w:t>
      </w:r>
    </w:p>
    <w:p>
      <w:pPr>
        <w:pStyle w:val="3"/>
      </w:pPr>
      <w:r>
        <w:rPr>
          <w:rFonts w:ascii="맑은 고딕" w:hAnsi="맑은 고딕" w:eastAsia="맑은 고딕"/>
        </w:rPr>
        <w:t>가. 사업장폐기물의 정의부터 (법 제2조제3호)</w:t>
      </w:r>
    </w:p>
    <w:p>
      <w:pPr>
        <w:spacing w:after="80"/>
      </w:pPr>
      <w:r>
        <w:rPr>
          <w:rFonts w:ascii="맑은 고딕" w:hAnsi="맑은 고딕" w:eastAsia="맑은 고딕"/>
          <w:color w:val="000000"/>
          <w:sz w:val="19"/>
        </w:rPr>
        <w:t>사업장폐기물은 두 갈래에서 나옵니다. 하나는 대기 · 물환경 · 소음진동 배출시설을 설치하거나 운영하는 사업장이고, 다른 하나는 그 밖에 대통령령으로 정하는 사업장입니다. 뒤쪽의 '그 밖의 사업장'을 구체적으로 정하는 것이 시행령 제2조입니다.</w:t>
      </w:r>
    </w:p>
    <w:p>
      <w:pPr>
        <w:pStyle w:val="cite1"/>
      </w:pPr>
      <w:r>
        <w:rPr>
          <w:rFonts w:ascii="맑은 고딕" w:hAnsi="맑은 고딕" w:eastAsia="맑은 고딕"/>
        </w:rPr>
        <w:t>폐기물관리법 제2조제3호</w:t>
      </w:r>
    </w:p>
    <w:p>
      <w:pPr>
        <w:spacing w:after="120"/>
      </w:pPr>
      <w:r>
        <w:rPr>
          <w:rFonts w:ascii="맑은 고딕" w:hAnsi="맑은 고딕" w:eastAsia="맑은 고딕"/>
          <w:color w:val="000000"/>
          <w:sz w:val="19"/>
        </w:rPr>
        <w:t>“사업장폐기물이란 대기환경보전법, 물환경보전법 또는 소음진동관리법에 따라 배출시설을 설치·운영하는 사업장이나 그 밖에 대통령령으로 정하는 사업장에서 발생하는 폐기물을 말한다.”</w:t>
      </w:r>
    </w:p>
    <w:p>
      <w:pPr>
        <w:pStyle w:val="3"/>
      </w:pPr>
      <w:r>
        <w:rPr>
          <w:rFonts w:ascii="맑은 고딕" w:hAnsi="맑은 고딕" w:eastAsia="맑은 고딕"/>
        </w:rPr>
        <w:t>나. 그 밖의 사업장은 시행령 제2조가 정한다</w:t>
      </w:r>
    </w:p>
    <w:p>
      <w:pPr>
        <w:spacing w:after="80"/>
      </w:pPr>
      <w:r>
        <w:rPr>
          <w:rFonts w:ascii="맑은 고딕" w:hAnsi="맑은 고딕" w:eastAsia="맑은 고딕"/>
          <w:color w:val="000000"/>
          <w:sz w:val="19"/>
        </w:rPr>
        <w:t>시행령 제2조는 아홉 가지 사업장을 열거합니다. 이 가운데 제1호부터 제5호는 공공처리시설이나 폐기물처리시설처럼 '시설'을 갖춘 사업장이고, 제7호와 제9호는 배출량이나 공사 규모 같은 '규모'로 정해지는 사업장입니다. 제6호는 지정폐기물, 제8호는 건설폐기물이어서 각각 다른 길로 갑니다.</w:t>
      </w:r>
    </w:p>
    <w:p>
      <w:pPr>
        <w:pStyle w:val="cite1"/>
      </w:pPr>
      <w:r>
        <w:rPr>
          <w:rFonts w:ascii="맑은 고딕" w:hAnsi="맑은 고딕" w:eastAsia="맑은 고딕"/>
        </w:rPr>
        <w:t>폐기물관리법 시행령 제2조(사업장의 범위)</w:t>
      </w:r>
    </w:p>
    <w:p>
      <w:pPr>
        <w:spacing w:after="120"/>
      </w:pPr>
      <w:r>
        <w:rPr>
          <w:rFonts w:ascii="맑은 고딕" w:hAnsi="맑은 고딕" w:eastAsia="맑은 고딕"/>
          <w:color w:val="000000"/>
          <w:sz w:val="19"/>
        </w:rPr>
        <w:t>1. 공공폐수처리시설 설치·운영 사업장</w:t>
      </w:r>
      <w:r>
        <w:br/>
      </w:r>
      <w:r>
        <w:rPr>
          <w:rFonts w:ascii="맑은 고딕" w:hAnsi="맑은 고딕" w:eastAsia="맑은 고딕"/>
          <w:color w:val="000000"/>
          <w:sz w:val="19"/>
        </w:rPr>
        <w:t>2. 공공하수처리시설 설치·운영 사업장</w:t>
      </w:r>
      <w:r>
        <w:br/>
      </w:r>
      <w:r>
        <w:rPr>
          <w:rFonts w:ascii="맑은 고딕" w:hAnsi="맑은 고딕" w:eastAsia="맑은 고딕"/>
          <w:color w:val="000000"/>
          <w:sz w:val="19"/>
        </w:rPr>
        <w:t>3. 분뇨처리시설 설치·운영 사업장</w:t>
      </w:r>
      <w:r>
        <w:br/>
      </w:r>
      <w:r>
        <w:rPr>
          <w:rFonts w:ascii="맑은 고딕" w:hAnsi="맑은 고딕" w:eastAsia="맑은 고딕"/>
          <w:color w:val="000000"/>
          <w:sz w:val="19"/>
        </w:rPr>
        <w:t>4. 가축분뇨 공공처리시설</w:t>
      </w:r>
      <w:r>
        <w:br/>
      </w:r>
      <w:r>
        <w:rPr>
          <w:rFonts w:ascii="맑은 고딕" w:hAnsi="맑은 고딕" w:eastAsia="맑은 고딕"/>
          <w:color w:val="000000"/>
          <w:sz w:val="19"/>
        </w:rPr>
        <w:t>5. 폐기물처리시설 설치·운영 사업장</w:t>
      </w:r>
      <w:r>
        <w:br/>
      </w:r>
      <w:r>
        <w:rPr>
          <w:rFonts w:ascii="맑은 고딕" w:hAnsi="맑은 고딕" w:eastAsia="맑은 고딕"/>
          <w:color w:val="000000"/>
          <w:sz w:val="19"/>
        </w:rPr>
        <w:t>6. 지정폐기물 배출 사업장</w:t>
      </w:r>
      <w:r>
        <w:br/>
      </w:r>
      <w:r>
        <w:rPr>
          <w:rFonts w:ascii="맑은 고딕" w:hAnsi="맑은 고딕" w:eastAsia="맑은 고딕"/>
          <w:color w:val="000000"/>
          <w:sz w:val="19"/>
        </w:rPr>
        <w:t>7. 폐기물을 1일 평균 300킬로그램 이상 배출하는 사업장</w:t>
      </w:r>
      <w:r>
        <w:br/>
      </w:r>
      <w:r>
        <w:rPr>
          <w:rFonts w:ascii="맑은 고딕" w:hAnsi="맑은 고딕" w:eastAsia="맑은 고딕"/>
          <w:color w:val="000000"/>
          <w:sz w:val="19"/>
        </w:rPr>
        <w:t>8. 건설공사로 폐기물을 5톤 이상 배출하는 사업장</w:t>
      </w:r>
      <w:r>
        <w:br/>
      </w:r>
      <w:r>
        <w:rPr>
          <w:rFonts w:ascii="맑은 고딕" w:hAnsi="맑은 고딕" w:eastAsia="맑은 고딕"/>
          <w:color w:val="000000"/>
          <w:sz w:val="19"/>
        </w:rPr>
        <w:t>9. 일련의 공사나 작업으로 폐기물을 5톤 이상 배출하는 사업장(제8호 건설공사는 제외)</w:t>
      </w:r>
    </w:p>
    <w:p>
      <w:pPr>
        <w:pStyle w:val="3"/>
      </w:pPr>
      <w:r>
        <w:rPr>
          <w:rFonts w:ascii="맑은 고딕" w:hAnsi="맑은 고딕" w:eastAsia="맑은 고딕"/>
        </w:rPr>
        <w:t>다. 배출시설계와 비배출시설계가 갈리는 곳 (시행규칙 별표5)</w:t>
      </w:r>
    </w:p>
    <w:p>
      <w:pPr>
        <w:spacing w:after="80"/>
      </w:pPr>
      <w:r>
        <w:rPr>
          <w:rFonts w:ascii="맑은 고딕" w:hAnsi="맑은 고딕" w:eastAsia="맑은 고딕"/>
          <w:color w:val="000000"/>
          <w:sz w:val="19"/>
        </w:rPr>
        <w:t>정작 이 두 용어는 법과 시행령 어디에도 없습니다. 시행규칙 별표5 제3호가목1)의 딱 한 문장에서 처음이자 유일하게 정의됩니다. 배출시설계는 '법의 배출시설과 시행령 제1호부터 제5호까지의 시설을 운영해서 나온 폐기물'이고, 비배출시설계는 '그 외의 폐기물과 시행령 제7호 · 제9호 사업장에서 나온 폐기물'입니다. 결국 갈림의 기준은 '특정 시설의 운영에서 나왔는가'입니다.</w:t>
      </w:r>
    </w:p>
    <w:p>
      <w:pPr>
        <w:pStyle w:val="cite1"/>
      </w:pPr>
      <w:r>
        <w:rPr>
          <w:rFonts w:ascii="맑은 고딕" w:hAnsi="맑은 고딕" w:eastAsia="맑은 고딕"/>
        </w:rPr>
        <w:t>폐기물관리법 시행규칙 별표5 제3호가목1)</w:t>
      </w:r>
    </w:p>
    <w:p>
      <w:pPr>
        <w:spacing w:after="120"/>
      </w:pPr>
      <w:r>
        <w:rPr>
          <w:rFonts w:ascii="맑은 고딕" w:hAnsi="맑은 고딕" w:eastAsia="맑은 고딕"/>
          <w:color w:val="000000"/>
          <w:sz w:val="19"/>
        </w:rPr>
        <w:t>“법 제2조제3호에 따른 배출시설 또는 영 제2조제1호부터 제5호까지의 규정에 따른 시설의 운영으로 배출되는 폐기물(이하 ‘사업장배출시설계 폐기물’이라 한다)은 해당 사업장에서 배출되는 사업장배출시설계 폐기물 외의 폐기물 및 영 제2조제7호 및 제9호에 따른 사업장에서 배출되는 폐기물(이하 ‘사업장비배출시설계 폐기물’이라 한다)과 혼합되지 않도록 해야 한다.”</w:t>
      </w:r>
    </w:p>
    <w:p>
      <w:pPr>
        <w:pStyle w:val="3"/>
      </w:pPr>
      <w:r>
        <w:rPr>
          <w:rFonts w:ascii="맑은 고딕" w:hAnsi="맑은 고딕" w:eastAsia="맑은 고딕"/>
        </w:rPr>
        <w:t>라. 구분하면 무엇이 달라지나</w:t>
      </w:r>
    </w:p>
    <w:p>
      <w:pPr>
        <w:spacing w:after="120"/>
      </w:pPr>
      <w:r>
        <w:rPr>
          <w:rFonts w:ascii="맑은 고딕" w:hAnsi="맑은 고딕" w:eastAsia="맑은 고딕"/>
          <w:color w:val="000000"/>
          <w:sz w:val="19"/>
        </w:rPr>
        <w:t>(1) 혼합 보관 금지 : 같은 사업장 안이라도 배출시설계 폐기물과 비배출시설계 폐기물을 섞이지 않게 보관해야 합니다(별표5 제3호가목1).</w:t>
      </w:r>
      <w:r>
        <w:br/>
      </w:r>
      <w:r>
        <w:rPr>
          <w:rFonts w:ascii="맑은 고딕" w:hAnsi="맑은 고딕" w:eastAsia="맑은 고딕"/>
          <w:color w:val="000000"/>
          <w:sz w:val="19"/>
        </w:rPr>
        <w:t>(2) 생활폐기물 기준 처리 : 비배출시설계 폐기물 중 생활폐기물과 성질 · 상태가 비슷한 것은 지방자치단체 조례에 따라 생활폐기물의 기준과 방법으로 처리할 수 있습니다(별표5 제3호가목2).</w:t>
      </w:r>
      <w:r>
        <w:br/>
      </w:r>
      <w:r>
        <w:rPr>
          <w:rFonts w:ascii="맑은 고딕" w:hAnsi="맑은 고딕" w:eastAsia="맑은 고딕"/>
          <w:color w:val="000000"/>
          <w:sz w:val="19"/>
        </w:rPr>
        <w:t>(3) 수집운반업자 구분 : 배출시설계는 배출시설계 수집운반업자가, 비배출시설계는 비배출시설계 수집운반업자가 운반합니다(별표5 제3호나목1). 위탁 업체의 허가 영업대상을 반드시 확인해야 합니다.</w:t>
      </w:r>
    </w:p>
    <w:p>
      <w:pPr>
        <w:spacing w:before="80" w:after="40"/>
      </w:pPr>
      <w:r>
        <w:rPr>
          <w:rFonts w:ascii="맑은 고딕" w:hAnsi="맑은 고딕" w:eastAsia="맑은 고딕"/>
          <w:b/>
          <w:color w:val="000000"/>
          <w:sz w:val="19"/>
        </w:rPr>
        <w:t>한 줄로 정리하면, 사업장비배출시설계 폐기물은 '특정 시설에서 나온 것이 아닌 사업장일반폐기물'이며, 그 정의는 시행규칙 별표5 제3호가목1)에 단 한 번 나오고 법 제2조제3호와 시행령 제2조를 함께 봐야 완성됩니다.</w:t>
      </w:r>
    </w:p>
    <w:p>
      <w:pPr>
        <w:pStyle w:val="src"/>
      </w:pPr>
      <w:r>
        <w:rPr>
          <w:rFonts w:ascii="맑은 고딕" w:hAnsi="맑은 고딕" w:eastAsia="맑은 고딕"/>
        </w:rPr>
        <w:t>기준 법령: 폐기물관리법 · 같은 법 시행령 · 같은 법 시행규칙 (국가법령정보센터 기준)</w:t>
      </w:r>
    </w:p>
    <w:p>
      <w:pPr>
        <w:pStyle w:val="mark"/>
      </w:pPr>
      <w:r>
        <w:rPr>
          <w:rFonts w:ascii="맑은 고딕" w:hAnsi="맑은 고딕" w:eastAsia="맑은 고딕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