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40"/>
      </w:pPr>
      <w:r>
        <w:rPr>
          <w:rFonts w:ascii="맑은 고딕" w:hAnsi="맑은 고딕" w:eastAsia="맑은 고딕"/>
          <w:b/>
          <w:color w:val="1F3864"/>
          <w:sz w:val="32"/>
        </w:rPr>
        <w:t>폐기물 처리업자의 보관량·보관기간</w:t>
      </w:r>
    </w:p>
    <w:p>
      <w:pPr>
        <w:pStyle w:val="law1"/>
      </w:pPr>
      <w:r>
        <w:rPr>
          <w:rFonts w:ascii="맑은 고딕" w:hAnsi="맑은 고딕" w:eastAsia="맑은 고딕"/>
        </w:rPr>
        <w:t>폐기물관리법 시행규칙 제31조</w:t>
      </w:r>
    </w:p>
    <w:p>
      <w:pPr>
        <w:spacing w:after="80"/>
      </w:pPr>
      <w:r>
        <w:rPr>
          <w:rFonts w:ascii="맑은 고딕" w:hAnsi="맑은 고딕" w:eastAsia="맑은 고딕"/>
          <w:color w:val="333333"/>
          <w:sz w:val="20"/>
        </w:rPr>
        <w:t>폐기물 처리업자의 보관량과 보관기간은 폐기물관리법 제25조 제9항의 준수사항이며, 구체적 기준은 같은 법 시행규칙 제31조 제1항에 있습니다. 처리 대상의 대부분을 차지하는 사업장 일반폐기물은 보관 원칙이 30일이고, 재활용을 위해 보관하면 60일 또는 180일까지 늘어납니다. 의료폐기물과 수집·운반 임시보관 등은 이와 별도로 며칠 단위입니다.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3864"/>
          <w:sz w:val="20"/>
        </w:rPr>
        <w:t xml:space="preserve">핵심 </w:t>
      </w:r>
      <w:r>
        <w:rPr>
          <w:rFonts w:ascii="맑은 고딕" w:hAnsi="맑은 고딕" w:eastAsia="맑은 고딕"/>
          <w:b/>
          <w:color w:val="1A1A1A"/>
          <w:sz w:val="20"/>
        </w:rPr>
        <w:t>사업장 일반폐기물 보관 = 원칙 30일, 재활용이면 60일 또는 180일</w:t>
      </w:r>
    </w:p>
    <w:p>
      <w:pPr>
        <w:pStyle w:val="2"/>
      </w:pPr>
      <w:r>
        <w:rPr>
          <w:rFonts w:ascii="맑은 고딕" w:hAnsi="맑은 고딕" w:eastAsia="맑은 고딕"/>
        </w:rPr>
        <w:t>1. 근거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980"/>
        <w:gridCol w:w="4680"/>
        <w:gridCol w:w="2340"/>
      </w:tblGrid>
      <w:tr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46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 장소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허가받은 사업장 내 보관시설이나 승인받은 임시보관시설 등 적정한 장소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제1호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보관량·보관기간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환경부령으로 정하는 양 또는 기간을 초과하여 보관 금지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제2호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구체적 기준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보관량·보관기간을 호·목으로 규정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2. 보관기간 기준</w:t>
      </w:r>
    </w:p>
    <w:p>
      <w:pPr>
        <w:spacing w:after="80"/>
      </w:pPr>
      <w:r>
        <w:rPr>
          <w:rFonts w:ascii="맑은 고딕" w:hAnsi="맑은 고딕" w:eastAsia="맑은 고딕"/>
          <w:color w:val="777777"/>
          <w:sz w:val="18"/>
        </w:rPr>
        <w:t>사업장 일반폐기물 처리 보관(일반 보관·재활용)을 먼저 싣고, 의료·수집운반 등 특례는 아래에 정리했습니다.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3060"/>
        <w:gridCol w:w="2340"/>
        <w:gridCol w:w="1980"/>
        <w:gridCol w:w="1620"/>
      </w:tblGrid>
      <w:tr>
        <w:tc>
          <w:tcPr>
            <w:tcW w:type="dxa" w:w="30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보관량</w:t>
            </w:r>
          </w:p>
        </w:tc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보관기간</w:t>
            </w:r>
          </w:p>
        </w:tc>
        <w:tc>
          <w:tcPr>
            <w:tcW w:type="dxa" w:w="16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 (제31조 제1항)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일반 보관 (재활용·중간처분·종합처분)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처리용량의 30일분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30일 (폐석면 매립 6개월)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제4호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(무기성 계열)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60일분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60일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가목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(수입·이차전지·태양광 등)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180일분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180일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나목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 (의료 외)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450톤·용적 300㎥ 이하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제1호 나목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 (의료폐기물)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냉장 4도 이하 전용시설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(그 밖·격리 2일)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제1호 가목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(폐전주)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3~11월 50톤 / 12~2월 100톤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승인 조건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가목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(동물성 잔재물)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150톤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나목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 (수액팩·수액병)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5톤 미만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다목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태반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임시보관 5톤 미만 / 그 밖 7일분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또는 7일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제5호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재활용가능자원 비축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재활용법 고시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고시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제5호의2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중간처분 의료폐기물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처분용량의 5일분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(격리·조직물류 2일)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제6호</w:t>
            </w:r>
          </w:p>
        </w:tc>
      </w:tr>
      <w:tr>
        <w:tc>
          <w:tcPr>
            <w:tcW w:type="dxa" w:w="30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감염병 재난 시 의료폐기물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-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장관이 별도 지정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제7호</w:t>
            </w:r>
          </w:p>
        </w:tc>
      </w:tr>
    </w:tbl>
    <w:p>
      <w:pPr>
        <w:spacing w:after="100"/>
      </w:pPr>
    </w:p>
    <w:p>
      <w:pPr>
        <w:spacing w:after="160"/>
      </w:pPr>
      <w:r>
        <w:rPr>
          <w:rFonts w:ascii="맑은 고딕" w:hAnsi="맑은 고딕" w:eastAsia="맑은 고딕"/>
          <w:color w:val="333333"/>
          <w:sz w:val="19"/>
        </w:rPr>
        <w:t>사업장 일반폐기물은 일반 보관이면 30일이고, 재활용 목적으로 보관하면 품목에 따라 60일 또는 180일이 적용됩니다.</w:t>
      </w:r>
    </w:p>
    <w:p>
      <w:pPr>
        <w:pStyle w:val="2"/>
      </w:pPr>
      <w:r>
        <w:rPr>
          <w:rFonts w:ascii="맑은 고딕" w:hAnsi="맑은 고딕" w:eastAsia="맑은 고딕"/>
        </w:rPr>
        <w:t>3. 폐합성수지 제외 (재활용법)</w:t>
      </w:r>
    </w:p>
    <w:p>
      <w:pPr>
        <w:spacing w:after="80"/>
      </w:pPr>
      <w:r>
        <w:rPr>
          <w:rFonts w:ascii="맑은 고딕" w:hAnsi="맑은 고딕" w:eastAsia="맑은 고딕"/>
          <w:color w:val="333333"/>
          <w:sz w:val="19"/>
        </w:rPr>
        <w:t>제3호 가목 1)의 폐합성수지 중 다음은 60일 대상에서 제외됩니다. (재활용법 시행령 제18조 제1호·제3호·제8호부터 제10호까지)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620"/>
        <w:gridCol w:w="7380"/>
      </w:tblGrid>
      <w:tr>
        <w:tc>
          <w:tcPr>
            <w:tcW w:type="dxa" w:w="16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시행령 제18조</w:t>
            </w:r>
          </w:p>
        </w:tc>
        <w:tc>
          <w:tcPr>
            <w:tcW w:type="dxa" w:w="73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제외 품목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제1호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포장재 (용기류, 필름·시트형, 쟁반형 용기(tray) 포함)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제3호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1회용 봉투·쇼핑백 (종량제 봉투 제외)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제8호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수산물 양식용 부자(浮子)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제9호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곤포(뭉치) 사일리지용 필름</w:t>
            </w:r>
          </w:p>
        </w:tc>
      </w:tr>
      <w:tr>
        <w:tc>
          <w:tcPr>
            <w:tcW w:type="dxa" w:w="162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제10호</w:t>
            </w:r>
          </w:p>
        </w:tc>
        <w:tc>
          <w:tcPr>
            <w:tcW w:type="dxa" w:w="73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합성수지재질의 김발장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4. 연장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440"/>
        <w:gridCol w:w="5400"/>
        <w:gridCol w:w="2160"/>
      </w:tblGrid>
      <w:tr>
        <w:tc>
          <w:tcPr>
            <w:tcW w:type="dxa" w:w="14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4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1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4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원칙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허가·승인받은 보관량·보관기간 초과 금지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 제2항 본문</w:t>
            </w:r>
          </w:p>
        </w:tc>
      </w:tr>
      <w:tr>
        <w:tc>
          <w:tcPr>
            <w:tcW w:type="dxa" w:w="14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예외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화재 등 중대한 사고, 방치폐기물 반입·보관 등 부득이한 사유 + 시·도지사나 지방환경관서의 장 승인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 제2항 단서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5. 위반 시</w:t>
      </w:r>
    </w:p>
    <w:p>
      <w:pPr>
        <w:spacing w:after="60"/>
      </w:pPr>
      <w:r>
        <w:rPr>
          <w:rFonts w:ascii="맑은 고딕" w:hAnsi="맑은 고딕" w:eastAsia="맑은 고딕"/>
          <w:color w:val="333333"/>
          <w:sz w:val="19"/>
        </w:rPr>
        <w:t>보관량·보관기간 초과는 준수사항 위반으로 영업정지 등 행정처분 대상이며, 처리하지 못한 폐기물은 방치폐기물 조치명령과 처리이행보증 집행으로 이어질 수 있습니다.</w:t>
      </w:r>
    </w:p>
    <w:p>
      <w:pPr>
        <w:pStyle w:val="note"/>
      </w:pPr>
      <w:r>
        <w:rPr>
          <w:rFonts w:ascii="맑은 고딕" w:hAnsi="맑은 고딕" w:eastAsia="맑은 고딕"/>
        </w:rPr>
        <w:t>※ 법 제25조 제9항 제4호의 영상정보 60일 보관은 CCTV 영상 저장 기간으로, 폐기물 보관 60일과 다른 규정입니다.</w:t>
      </w:r>
    </w:p>
    <w:p>
      <w:pPr>
        <w:pStyle w:val="2"/>
      </w:pPr>
      <w:r>
        <w:rPr>
          <w:rFonts w:ascii="맑은 고딕" w:hAnsi="맑은 고딕" w:eastAsia="맑은 고딕"/>
        </w:rPr>
        <w:t>6. 관련 법령 조항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3600"/>
        <w:gridCol w:w="5400"/>
      </w:tblGrid>
      <w:tr>
        <w:tc>
          <w:tcPr>
            <w:tcW w:type="dxa" w:w="36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4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 조항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처리업자 준수사항 (보관 장소)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제1호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처리업자 준수사항 (양·기간 초과 금지)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제25조 제9항 제2호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보관량·보관기간 기준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 임시보관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제1호 (가목·나목)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승인 임시보관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제2호 (가목·나목·다목)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60일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제3호 가목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180일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제3호 나목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일반 보관 30일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제4호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태반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제5호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재활용가능자원 비축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제5호의2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중간처분 의료폐기물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제6호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감염병 재난 처리기한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제1항 제7호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초과 금지·연장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시행규칙 제31조 제2항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임시보관시설 근거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폐기물관리법 시행령 제7조 제1항 제6호 → 시행규칙 제11조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폐합성수지 제외 대상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자원의 절약과 재활용촉진에 관한 법률 시행령 제18조 제1호·제3호·제8호·제9호·제10호</w:t>
            </w:r>
          </w:p>
        </w:tc>
      </w:tr>
      <w:tr>
        <w:tc>
          <w:tcPr>
            <w:tcW w:type="dxa" w:w="360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비축 고시 위임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자원의 절약과 재활용촉진에 관한 법률 제34조의5 제5항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7. 원문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폐기물관리법 제25조 제9항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폐기물처리업자는 다음 각 호의 준수사항을 지켜야 한다.  제1호  폐기물을 허가받은 사업장 내 보관시설이나 승인받은 임시보관시설 등 적정한 장소에 보관할 것.  제2호  기후에너지환경부령으로 정하는 양 또는 기간을 초과하여 폐기물을 보관하지 말 것. (제3호부터 제6호까지 생략)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폐기물관리법 시행규칙 제31조 제1항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법 제25조 제9항 제2호에서 '기후에너지환경부령으로 정하는 양 또는 기간'이란 다음 각 호와 같다.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제1호  폐기물 수집·운반업자가 임시보관장소에 폐기물을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의료폐기물: 냉장 4도 이하 전용보관시설 5일 이내, 그 밖의 보관시설 2일 이내(격리의료폐기물은 보관시설 무관 2일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의료폐기물 외: 중량 450톤 이하·용적 300세제곱미터 이하, 5일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제2호  재활용업자가 제11조 제2항·제3항 승인 임시보관시설에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폐전주: 3월~11월 50톤 미만, 12월~다음 해 2월 100톤 미만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동물성 잔재물: 150톤 미만, 1일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다목  수액팩·수액병(보건·의료기관 배출): 5톤 미만, 5일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제3호  재활용업자가 재활용을 위하여 보관하는 경우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가목  1일 재활용량의 60일분 이하, 60일 이내. 1) 폐석고(도자기 제조시설 한정)·폐고무·광재·폐내화물·폐도자기조각·폐합성수지(재활용법 시행령 제18조 제1호·제3호·제8호부터 제10호까지 해당분 제외)·폐금속류·폐지·폐유리·폐콘크리트전주·폐석재·폐레미콘 / 2) 토기·자기·내화물·시멘트·콘크리트·석제품 제조·가공시설, 세륜시설, 정수시설, 비금속광물 분쇄시설, 토사세척시설의 무기성 오니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 xml:space="preserve">  나목  폐목재·폐촉매·폐김발장·석탄재·리튬이차전지(제조 부산물)·전기자동차 폐이차전지·태양광 폐패널·특정 수입폐기물: 1일 재활용량의 180일분 이하, 180일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제4호  재활용업자·중간처분업자·종합처분업자가 보관(의료폐기물 또는 제2호·제3호·제5호의2 제외)하는 경우: 1일 처리용량의 30일분 이하, 30일 이내(매립시설 구획 폐석면 매립은 6개월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제5호  재활용업자가 의료폐기물(태반)을 보관하는 경우: 가목 제11조 제1항 제2호 임시보관시설 5톤 미만·5일 이내 / 나목 그 밖 7일분 이하·7일 이내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제5호의2  재활용업자가 제11조 제1항 제5호 비축 시설에 재활용가능자원을 비축하는 경우: 재활용법 제34조의5 제5항 고시에 따름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제6호  중간처분업자가 의료폐기물을 보관하는 경우: 1일 처분용량의 5일분 이하, 5일 이내(격리·조직물류는 2일분·2일 이내)</w:t>
      </w:r>
      <w:r>
        <w:br/>
      </w:r>
      <w:r>
        <w:rPr>
          <w:rFonts w:ascii="맑은 고딕" w:hAnsi="맑은 고딕" w:eastAsia="맑은 고딕"/>
          <w:color w:val="333333"/>
          <w:sz w:val="18"/>
        </w:rPr>
        <w:t>제7호  감염병 확산으로 재난 예보·경보 발령 시 등 장관이 의료폐기물 처리기한을 따로 정할 수 있음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폐기물관리법 시행규칙 제31조 제2항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폐기물처리업자는 허가나 승인을 받은 보관량 및 보관기간을 초과하여 폐기물을 보관할 수 없다. 다만, 화재 등 중대한 사고, 방치폐기물의 반입·보관 등으로 그 기간 이상 보관하여야 할 부득이한 사유가 있는 경우로서 시·도지사나 지방환경관서의 장의 승인을 받았을 때에는 그러하지 아니하다.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폐기물관리법 시행규칙 제11조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영 제7조 제1항 제6호 단서에 따른 임시보관시설의 유형·기준을 정하며(제1항), 재활용업자가 임시보관시설을 설치·변경하려면 시·도지사의 승인·변경승인을 받아야 한다(제2항·제3항).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자원의 절약과 재활용촉진에 관한 법률 시행령 제18조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재활용의무 대상 제품·포장재를 정하며, 그중 제1호(합성수지 포장재)·제3호(1회용 봉투·쇼핑백)·제8호(양식용 부자)·제9호(사일리지용 필름)·제10호(김발장)에 해당하는 폐합성수지는 시행규칙 제31조 제1항 제3호 가목 1)의 60일 대상에서 제외된다.</w:t>
      </w:r>
    </w:p>
    <w:p>
      <w:pPr>
        <w:pStyle w:val="cite1"/>
        <w:spacing w:after="40" w:before="220"/>
      </w:pPr>
      <w:r>
        <w:rPr>
          <w:rFonts w:ascii="맑은 고딕" w:hAnsi="맑은 고딕" w:eastAsia="맑은 고딕"/>
        </w:rPr>
        <w:t>자원의 절약과 재활용촉진에 관한 법률 제34조의5 제5항</w:t>
      </w:r>
    </w:p>
    <w:p>
      <w:pPr>
        <w:spacing w:after="120" w:line="324" w:lineRule="auto"/>
      </w:pPr>
      <w:r>
        <w:rPr>
          <w:rFonts w:ascii="맑은 고딕" w:hAnsi="맑은 고딕" w:eastAsia="맑은 고딕"/>
          <w:color w:val="333333"/>
          <w:sz w:val="18"/>
        </w:rPr>
        <w:t>재활용가능자원등의 비축·보관·관리 및 비용 지원에 필요한 사항은 기후에너지환경부장관이 정하여 고시한다(시행규칙 제31조 제1항 제5호의2의 비축 보관 기준의 근거).</w:t>
      </w:r>
    </w:p>
    <w:p>
      <w:pPr>
        <w:pStyle w:val="src"/>
      </w:pPr>
      <w:r>
        <w:rPr>
          <w:rFonts w:ascii="맑은 고딕" w:hAnsi="맑은 고딕" w:eastAsia="맑은 고딕"/>
        </w:rPr>
        <w:t>기준 법령: 폐기물관리법·같은 법 시행령·시행규칙, 자원의 절약과 재활용촉진에 관한 법률·같은 법 시행령 (국가법령정보센터 기준).</w:t>
      </w:r>
    </w:p>
    <w:p>
      <w:pPr>
        <w:pStyle w:val="mark"/>
      </w:pPr>
      <w:r>
        <w:rPr>
          <w:rFonts w:ascii="맑은 고딕" w:hAnsi="맑은 고딕" w:eastAsia="맑은 고딕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