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40"/>
      </w:pPr>
      <w:r>
        <w:rPr>
          <w:rFonts w:ascii="맑은 고딕" w:hAnsi="맑은 고딕" w:eastAsia="맑은 고딕" w:cs="맑은 고딕"/>
          <w:b/>
          <w:color w:val="000000"/>
          <w:sz w:val="34"/>
        </w:rPr>
        <w:t>대기환경보전법상 공기희석행위 적용 여부</w:t>
      </w:r>
    </w:p>
    <w:p>
      <w:pPr>
        <w:pStyle w:val="law1"/>
      </w:pPr>
      <w:r>
        <w:rPr>
          <w:rFonts w:ascii="맑은 고딕" w:hAnsi="맑은 고딕" w:eastAsia="맑은 고딕" w:cs="맑은 고딕"/>
          <w:color w:val="000000"/>
        </w:rPr>
        <w:t>대기환경보전법 제31조 · 위반 유형별 벌칙 · 유권해석 · 판례 종합</w:t>
      </w:r>
    </w:p>
    <w:p/>
    <w:p>
      <w:pPr>
        <w:spacing w:after="40"/>
      </w:pPr>
      <w:r>
        <w:rPr>
          <w:rFonts w:ascii="맑은 고딕" w:hAnsi="맑은 고딕" w:eastAsia="맑은 고딕" w:cs="맑은 고딕"/>
          <w:color w:val="000000"/>
          <w:sz w:val="20"/>
        </w:rPr>
        <w:t>안녕하세요, 인허가 서대리입니다.</w:t>
      </w:r>
    </w:p>
    <w:p>
      <w:pPr>
        <w:spacing w:after="120"/>
      </w:pPr>
      <w:r>
        <w:rPr>
          <w:rFonts w:ascii="맑은 고딕" w:hAnsi="맑은 고딕" w:eastAsia="맑은 고딕" w:cs="맑은 고딕"/>
          <w:color w:val="000000"/>
          <w:sz w:val="20"/>
        </w:rPr>
        <w:t>이번에는 대기오염물질 배출시설에서 문제가 자주 되는 공기희석행위가 대기환경보전법상 어디까지 위반에 해당하는지, 관련 법령과 벌칙, 환경부 유권해석 및 법원 판례를 종합하여 알아보겠습니다.</w:t>
      </w:r>
    </w:p>
    <w:p>
      <w:pPr>
        <w:pStyle w:val="2"/>
      </w:pPr>
      <w:r>
        <w:rPr>
          <w:rFonts w:ascii="맑은 고딕" w:hAnsi="맑은 고딕" w:eastAsia="맑은 고딕" w:cs="맑은 고딕"/>
          <w:color w:val="000000"/>
        </w:rPr>
        <w:t>1. 공기희석행위란</w:t>
      </w:r>
    </w:p>
    <w:p>
      <w:pPr>
        <w:spacing w:after="40"/>
      </w:pPr>
      <w:r>
        <w:rPr>
          <w:rFonts w:ascii="맑은 고딕" w:hAnsi="맑은 고딕" w:eastAsia="맑은 고딕" w:cs="맑은 고딕"/>
          <w:color w:val="000000"/>
          <w:sz w:val="20"/>
        </w:rPr>
        <w:t>공기희석행위란 배출시설에서 나오는 대기오염물질에 오염되지 않은 외부 공기를 섞어, 오염물질의 농도를 인위적으로 낮추어 배출하는 행위를 말합니다.</w:t>
      </w:r>
    </w:p>
    <w:p>
      <w:pPr>
        <w:spacing w:after="120"/>
      </w:pPr>
      <w:r>
        <w:rPr>
          <w:rFonts w:ascii="맑은 고딕" w:hAnsi="맑은 고딕" w:eastAsia="맑은 고딕" w:cs="맑은 고딕"/>
          <w:color w:val="000000"/>
          <w:sz w:val="20"/>
        </w:rPr>
        <w:t>배기가스량을 늘려 방지시설의 처리가 미흡하더라도 배출구에서 측정되는 오염도가 배출허용기준 이내로 나오도록 만드는 것이 대표적입니다. 대기환경보전법은 이러한 행위를 원칙적으로 금지하고 있습니다.</w:t>
      </w:r>
    </w:p>
    <w:p>
      <w:pPr>
        <w:pStyle w:val="2"/>
      </w:pPr>
      <w:r>
        <w:rPr>
          <w:rFonts w:ascii="맑은 고딕" w:hAnsi="맑은 고딕" w:eastAsia="맑은 고딕" w:cs="맑은 고딕"/>
          <w:color w:val="000000"/>
        </w:rPr>
        <w:t>2. 근거 법령</w:t>
      </w:r>
    </w:p>
    <w:p>
      <w:pPr>
        <w:spacing w:after="80"/>
      </w:pPr>
      <w:r>
        <w:rPr>
          <w:rFonts w:ascii="맑은 고딕" w:hAnsi="맑은 고딕" w:eastAsia="맑은 고딕" w:cs="맑은 고딕"/>
          <w:color w:val="000000"/>
          <w:sz w:val="20"/>
        </w:rPr>
        <w:t>대기환경보전법 제31조 제1항은 사업자가 배출시설과 방지시설을 운영할 때 다음의 행위를 하여서는 아니 된다고 규정하고 있습니다. 이 가운데 제1호와 제2호가 공기희석행위에 해당합니다.</w:t>
      </w:r>
    </w:p>
    <w:p>
      <w:pPr>
        <w:pStyle w:val="cite1"/>
      </w:pPr>
      <w:r>
        <w:rPr>
          <w:rFonts w:ascii="맑은 고딕" w:hAnsi="맑은 고딕" w:eastAsia="맑은 고딕" w:cs="맑은 고딕"/>
          <w:color w:val="000000"/>
        </w:rPr>
        <w:t>대기환경보전법 제31조(배출시설과 방지시설의 운영)</w:t>
      </w:r>
    </w:p>
    <w:p>
      <w:pPr>
        <w:spacing w:after="40"/>
      </w:pPr>
      <w:r>
        <w:rPr>
          <w:rFonts w:ascii="맑은 고딕" w:hAnsi="맑은 고딕" w:eastAsia="맑은 고딕" w:cs="맑은 고딕"/>
          <w:color w:val="000000"/>
          <w:sz w:val="19"/>
        </w:rPr>
        <w:t>① 사업자는 배출시설과 방지시설을 운영할 때에는 다음 각 호의 행위를 하여서는 아니 된다.</w:t>
      </w:r>
      <w:r>
        <w:rPr>
          <w:rFonts w:ascii="맑은 고딕" w:hAnsi="맑은 고딕" w:eastAsia="맑은 고딕" w:cs="맑은 고딕"/>
          <w:color w:val="000000"/>
          <w:sz w:val="19"/>
        </w:rPr>
        <w:br/>
      </w:r>
      <w:r>
        <w:rPr>
          <w:rFonts w:ascii="맑은 고딕" w:hAnsi="맑은 고딕" w:eastAsia="맑은 고딕" w:cs="맑은 고딕"/>
          <w:color w:val="000000"/>
          <w:sz w:val="19"/>
        </w:rPr>
        <w:t>1. 배출시설을 가동할 때에 방지시설을 가동하지 아니하거나 오염도를 낮추기 위하여 배출시설에서 나오는 오염물질에 공기를 섞어 배출하는 행위. 다만, 화재나 폭발 등의 사고를 예방할 필요가 있어 기후에너지환경부장관 또는 시ㆍ도지사가 인정하는 경우에는 그러하지 아니하다.</w:t>
      </w:r>
      <w:r>
        <w:rPr>
          <w:rFonts w:ascii="맑은 고딕" w:hAnsi="맑은 고딕" w:eastAsia="맑은 고딕" w:cs="맑은 고딕"/>
          <w:color w:val="000000"/>
          <w:sz w:val="19"/>
        </w:rPr>
        <w:br/>
      </w:r>
      <w:r>
        <w:rPr>
          <w:rFonts w:ascii="맑은 고딕" w:hAnsi="맑은 고딕" w:eastAsia="맑은 고딕" w:cs="맑은 고딕"/>
          <w:color w:val="000000"/>
          <w:sz w:val="19"/>
        </w:rPr>
        <w:t>2. 방지시설을 거치지 아니하고 오염물질을 배출할 수 있는 공기 조절장치나 가지 배출관 등을 설치하는 행위. 다만, 화재나 폭발 등의 사고를 예방할 필요가 있어 기후에너지환경부장관 또는 시ㆍ도지사가 인정하는 경우에는 그러하지 아니하다.</w:t>
      </w:r>
      <w:r>
        <w:rPr>
          <w:rFonts w:ascii="맑은 고딕" w:hAnsi="맑은 고딕" w:eastAsia="맑은 고딕" w:cs="맑은 고딕"/>
          <w:color w:val="000000"/>
          <w:sz w:val="19"/>
        </w:rPr>
        <w:br/>
      </w:r>
      <w:r>
        <w:rPr>
          <w:rFonts w:ascii="맑은 고딕" w:hAnsi="맑은 고딕" w:eastAsia="맑은 고딕" w:cs="맑은 고딕"/>
          <w:color w:val="000000"/>
          <w:sz w:val="19"/>
        </w:rPr>
        <w:t>3. 부식이나 마모로 인하여 오염물질이 새나가는 배출시설이나 방지시설을 정당한 사유 없이 방치하는 행위</w:t>
      </w:r>
      <w:r>
        <w:rPr>
          <w:rFonts w:ascii="맑은 고딕" w:hAnsi="맑은 고딕" w:eastAsia="맑은 고딕" w:cs="맑은 고딕"/>
          <w:color w:val="000000"/>
          <w:sz w:val="19"/>
        </w:rPr>
        <w:br/>
      </w:r>
      <w:r>
        <w:rPr>
          <w:rFonts w:ascii="맑은 고딕" w:hAnsi="맑은 고딕" w:eastAsia="맑은 고딕" w:cs="맑은 고딕"/>
          <w:color w:val="000000"/>
          <w:sz w:val="19"/>
        </w:rPr>
        <w:t>4. 방지시설에 딸린 기계와 기구류의 고장이나 훼손을 정당한 사유 없이 방치하는 행위</w:t>
      </w:r>
      <w:r>
        <w:rPr>
          <w:rFonts w:ascii="맑은 고딕" w:hAnsi="맑은 고딕" w:eastAsia="맑은 고딕" w:cs="맑은 고딕"/>
          <w:color w:val="000000"/>
          <w:sz w:val="19"/>
        </w:rPr>
        <w:br/>
      </w:r>
      <w:r>
        <w:rPr>
          <w:rFonts w:ascii="맑은 고딕" w:hAnsi="맑은 고딕" w:eastAsia="맑은 고딕" w:cs="맑은 고딕"/>
          <w:color w:val="000000"/>
          <w:sz w:val="19"/>
        </w:rPr>
        <w:t>5. 그 밖에 배출시설이나 방지시설을 정당한 사유 없이 정상적으로 가동하지 아니하여 배출허용기준을 초과한 오염물질을 배출하는 행위</w:t>
      </w:r>
    </w:p>
    <w:p>
      <w:pPr>
        <w:spacing w:after="80"/>
      </w:pPr>
      <w:r>
        <w:rPr>
          <w:rFonts w:ascii="맑은 고딕" w:hAnsi="맑은 고딕" w:eastAsia="맑은 고딕" w:cs="맑은 고딕"/>
          <w:color w:val="000000"/>
          <w:sz w:val="19"/>
        </w:rPr>
        <w:t>② 사업자는 조업을 할 때에는 기후에너지환경부령으로 정하는 바에 따라 그 배출시설과 방지시설의 운영에 관한 상황을 사실대로 기록하여 보존하여야 한다.</w:t>
      </w:r>
    </w:p>
    <w:p>
      <w:pPr>
        <w:pStyle w:val="note"/>
      </w:pPr>
      <w:r>
        <w:rPr>
          <w:rFonts w:ascii="맑은 고딕" w:hAnsi="맑은 고딕" w:eastAsia="맑은 고딕" w:cs="맑은 고딕"/>
          <w:color w:val="000000"/>
        </w:rPr>
        <w:t>※ 공기희석은 두 가지로 나뉩니다. 하나는 오염물질에 공기를 섞어 배출하는 행위(제1호)이고, 다른 하나는 방지시설을 거치지 않고 배출할 수 있는 공기 조절장치나 가지 배출관을 설치하는 행위(제2호)입니다.</w:t>
      </w:r>
    </w:p>
    <w:p/>
    <w:p>
      <w:pPr>
        <w:pStyle w:val="2"/>
      </w:pPr>
      <w:r>
        <w:rPr>
          <w:rFonts w:ascii="맑은 고딕" w:hAnsi="맑은 고딕" w:eastAsia="맑은 고딕" w:cs="맑은 고딕"/>
          <w:color w:val="000000"/>
        </w:rPr>
        <w:t>3. 위반 유형별 벌칙</w:t>
      </w:r>
    </w:p>
    <w:p>
      <w:pPr>
        <w:spacing w:after="80"/>
      </w:pPr>
      <w:r>
        <w:rPr>
          <w:rFonts w:ascii="맑은 고딕" w:hAnsi="맑은 고딕" w:eastAsia="맑은 고딕" w:cs="맑은 고딕"/>
          <w:color w:val="000000"/>
          <w:sz w:val="20"/>
        </w:rPr>
        <w:t>공기희석행위는 위반 유형에 따라 벌칙이 다릅니다. 특히 오염물질에 공기를 섞어 배출하는 행위(제1호)는 장치를 설치하는 행위(제2호)보다 무겁게 처벌됩니다.</w:t>
      </w:r>
    </w:p>
    <w:tbl>
      <w:tblPr>
        <w:tblW w:type="auto" w:w="0"/>
        <w:tblLayout w:type="fixed"/>
        <w:tblLook w:firstColumn="1" w:firstRow="1" w:lastColumn="0" w:lastRow="0" w:noHBand="0" w:noVBand="1" w:val="04A0"/>
        <w:tblW w:type="pct" w:w="5000"/>
        <w:tblBorders>
          <w:top w:val="single" w:sz="14" w:color="000000" w:space="0"/>
          <w:left w:val="single" w:sz="14" w:color="000000" w:space="0"/>
          <w:bottom w:val="single" w:sz="14" w:color="000000" w:space="0"/>
          <w:right w:val="single" w:sz="14" w:color="000000" w:space="0"/>
          <w:insideH w:val="single" w:sz="4" w:color="B7B7B7" w:space="0"/>
          <w:insideV w:val="single" w:sz="4" w:color="B7B7B7" w:space="0"/>
        </w:tblBorders>
      </w:tblPr>
      <w:tblGrid>
        <w:gridCol w:w="3009"/>
        <w:gridCol w:w="3009"/>
        <w:gridCol w:w="3009"/>
      </w:tblGrid>
      <w:tr>
        <w:trPr>
          <w:tblHeader w:val="true"/>
        </w:trPr>
        <w:tc>
          <w:tcPr>
            <w:tcW w:type="dxa" w:w="4896"/>
            <w:shd w:val="clear" w:color="auto" w:fill="D9D9D9"/>
            <w:tcBorders>
              <w:top w:val="single" w:sz="4" w:color="B7B7B7" w:space="0"/>
              <w:left w:val="single" w:sz="4" w:color="B7B7B7" w:space="0"/>
              <w:bottom w:val="double" w:sz="6" w:color="000000" w:space="0"/>
              <w:right w:val="single" w:sz="4" w:color="B7B7B7" w:space="0"/>
            </w:tcBorders>
            <w:vAlign w:val="center"/>
          </w:tcPr>
          <w:p>
            <w:pPr>
              <w:spacing w:after="0" w:before="20"/>
            </w:pPr>
            <w:r/>
            <w:r>
              <w:rPr>
                <w:rFonts w:ascii="맑은 고딕" w:hAnsi="맑은 고딕" w:eastAsia="맑은 고딕" w:cs="맑은 고딕"/>
                <w:b/>
                <w:color w:val="000000"/>
                <w:sz w:val="19"/>
              </w:rPr>
              <w:t>위반 행위</w:t>
            </w:r>
          </w:p>
        </w:tc>
        <w:tc>
          <w:tcPr>
            <w:tcW w:type="dxa" w:w="2160"/>
            <w:shd w:val="clear" w:color="auto" w:fill="D9D9D9"/>
            <w:tcBorders>
              <w:top w:val="single" w:sz="4" w:color="B7B7B7" w:space="0"/>
              <w:left w:val="single" w:sz="4" w:color="B7B7B7" w:space="0"/>
              <w:bottom w:val="double" w:sz="6" w:color="000000" w:space="0"/>
              <w:right w:val="single" w:sz="4" w:color="B7B7B7" w:space="0"/>
            </w:tcBorders>
            <w:vAlign w:val="center"/>
          </w:tcPr>
          <w:p>
            <w:pPr>
              <w:spacing w:after="0" w:before="20"/>
            </w:pPr>
            <w:r/>
            <w:r>
              <w:rPr>
                <w:rFonts w:ascii="맑은 고딕" w:hAnsi="맑은 고딕" w:eastAsia="맑은 고딕" w:cs="맑은 고딕"/>
                <w:b/>
                <w:color w:val="000000"/>
                <w:sz w:val="19"/>
              </w:rPr>
              <w:t>근거 조항</w:t>
            </w:r>
          </w:p>
        </w:tc>
        <w:tc>
          <w:tcPr>
            <w:tcW w:type="dxa" w:w="3456"/>
            <w:shd w:val="clear" w:color="auto" w:fill="D9D9D9"/>
            <w:tcBorders>
              <w:top w:val="single" w:sz="4" w:color="B7B7B7" w:space="0"/>
              <w:left w:val="single" w:sz="4" w:color="B7B7B7" w:space="0"/>
              <w:bottom w:val="double" w:sz="6" w:color="000000" w:space="0"/>
              <w:right w:val="single" w:sz="4" w:color="B7B7B7" w:space="0"/>
            </w:tcBorders>
            <w:vAlign w:val="center"/>
          </w:tcPr>
          <w:p>
            <w:pPr>
              <w:spacing w:after="0" w:before="20"/>
            </w:pPr>
            <w:r/>
            <w:r>
              <w:rPr>
                <w:rFonts w:ascii="맑은 고딕" w:hAnsi="맑은 고딕" w:eastAsia="맑은 고딕" w:cs="맑은 고딕"/>
                <w:b/>
                <w:color w:val="000000"/>
                <w:sz w:val="19"/>
              </w:rPr>
              <w:t>벌칙</w:t>
            </w:r>
          </w:p>
        </w:tc>
      </w:tr>
      <w:tr>
        <w:tc>
          <w:tcPr>
            <w:tcW w:type="dxa" w:w="4896"/>
            <w:shd w:val="clear" w:color="auto" w:fill="F2F2F2"/>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오염물질에 공기를 섞어 배출 또는 방지시설 미가동 (제31조제1항제1호)</w:t>
            </w:r>
          </w:p>
        </w:tc>
        <w:tc>
          <w:tcPr>
            <w:tcW w:type="dxa" w:w="2160"/>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제89조제3호</w:t>
            </w:r>
          </w:p>
        </w:tc>
        <w:tc>
          <w:tcPr>
            <w:tcW w:type="dxa" w:w="3456"/>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7년 이하의 징역 또는 1억원 이하의 벌금</w:t>
            </w:r>
          </w:p>
        </w:tc>
      </w:tr>
      <w:tr>
        <w:tc>
          <w:tcPr>
            <w:tcW w:type="dxa" w:w="4896"/>
            <w:shd w:val="clear" w:color="auto" w:fill="F2F2F2"/>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방지시설을 거치지 않는 공기 조절장치ㆍ가지 배출관 설치 (제31조제1항제2호)</w:t>
            </w:r>
          </w:p>
        </w:tc>
        <w:tc>
          <w:tcPr>
            <w:tcW w:type="dxa" w:w="2160"/>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제90조제2호</w:t>
            </w:r>
          </w:p>
        </w:tc>
        <w:tc>
          <w:tcPr>
            <w:tcW w:type="dxa" w:w="3456"/>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5년 이하의 징역 또는 5천만원 이하의 벌금</w:t>
            </w:r>
          </w:p>
        </w:tc>
      </w:tr>
      <w:tr>
        <w:tc>
          <w:tcPr>
            <w:tcW w:type="dxa" w:w="4896"/>
            <w:shd w:val="clear" w:color="auto" w:fill="F2F2F2"/>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부식ㆍ마모 시설 방치, 방지시설 기계ㆍ기구 고장 방치 (제3호ㆍ제4호)</w:t>
            </w:r>
          </w:p>
        </w:tc>
        <w:tc>
          <w:tcPr>
            <w:tcW w:type="dxa" w:w="2160"/>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제94조제3항제1호</w:t>
            </w:r>
          </w:p>
        </w:tc>
        <w:tc>
          <w:tcPr>
            <w:tcW w:type="dxa" w:w="3456"/>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200만원 이하의 과태료</w:t>
            </w:r>
          </w:p>
        </w:tc>
      </w:tr>
      <w:tr>
        <w:tc>
          <w:tcPr>
            <w:tcW w:type="dxa" w:w="4896"/>
            <w:shd w:val="clear" w:color="auto" w:fill="F2F2F2"/>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배출시설ㆍ방지시설 운영상황 기록ㆍ보존 위반 (제31조제2항)</w:t>
            </w:r>
          </w:p>
        </w:tc>
        <w:tc>
          <w:tcPr>
            <w:tcW w:type="dxa" w:w="2160"/>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제94조제2항제1호</w:t>
            </w:r>
          </w:p>
        </w:tc>
        <w:tc>
          <w:tcPr>
            <w:tcW w:type="dxa" w:w="3456"/>
            <w:tcBorders>
              <w:top w:val="single" w:sz="4" w:color="B7B7B7" w:space="0"/>
              <w:left w:val="single" w:sz="4" w:color="B7B7B7" w:space="0"/>
              <w:bottom w:val="single" w:sz="4" w:color="B7B7B7" w:space="0"/>
              <w:right w:val="single" w:sz="4" w:color="B7B7B7" w:space="0"/>
            </w:tcBorders>
            <w:vAlign w:val="center"/>
          </w:tcPr>
          <w:p>
            <w:pPr>
              <w:spacing w:after="0" w:before="20"/>
            </w:pPr>
            <w:r/>
            <w:r>
              <w:rPr>
                <w:rFonts w:ascii="맑은 고딕" w:hAnsi="맑은 고딕" w:eastAsia="맑은 고딕" w:cs="맑은 고딕"/>
                <w:b w:val="0"/>
                <w:color w:val="000000"/>
                <w:sz w:val="19"/>
              </w:rPr>
              <w:t>300만원 이하의 과태료</w:t>
            </w:r>
          </w:p>
        </w:tc>
      </w:tr>
    </w:tbl>
    <w:p/>
    <w:p>
      <w:pPr>
        <w:pStyle w:val="2"/>
      </w:pPr>
      <w:r>
        <w:rPr>
          <w:rFonts w:ascii="맑은 고딕" w:hAnsi="맑은 고딕" w:eastAsia="맑은 고딕" w:cs="맑은 고딕"/>
          <w:color w:val="000000"/>
        </w:rPr>
        <w:t>4. 유권해석 및 질의회신</w:t>
      </w:r>
    </w:p>
    <w:p>
      <w:pPr>
        <w:spacing w:after="80"/>
      </w:pPr>
      <w:r>
        <w:rPr>
          <w:rFonts w:ascii="맑은 고딕" w:hAnsi="맑은 고딕" w:eastAsia="맑은 고딕" w:cs="맑은 고딕"/>
          <w:color w:val="000000"/>
          <w:sz w:val="20"/>
        </w:rPr>
        <w:t>환경부와 법제처는 공기희석의 적용 범위를 여러 차례 밝혀 왔습니다. 핵심 판단은 다음과 같습니다.</w:t>
      </w:r>
    </w:p>
    <w:p>
      <w:pPr>
        <w:pStyle w:val="3"/>
      </w:pPr>
      <w:r>
        <w:rPr>
          <w:rFonts w:ascii="맑은 고딕" w:hAnsi="맑은 고딕" w:eastAsia="맑은 고딕" w:cs="맑은 고딕"/>
          <w:color w:val="000000"/>
        </w:rPr>
        <w:t>가. 배출시설에서 방지시설로 유입되기 전 외부공기를 유입하는 경우</w:t>
      </w:r>
    </w:p>
    <w:p>
      <w:pPr>
        <w:spacing w:after="20"/>
      </w:pPr>
      <w:r>
        <w:rPr>
          <w:rFonts w:ascii="맑은 고딕" w:hAnsi="맑은 고딕" w:eastAsia="맑은 고딕" w:cs="맑은 고딕"/>
          <w:color w:val="000000"/>
          <w:sz w:val="20"/>
        </w:rPr>
        <w:t>배출시설에서 발생한 오염물질이 방지시설로 유입되는 과정에 외부 공기를 유입하는 시설을 설치ㆍ가동하는 것은, 오염물질이 전량 방지시설로 유입되는 것을 방해할 우려가 있으므로 공기희석에 해당합니다.</w:t>
      </w:r>
    </w:p>
    <w:p>
      <w:pPr>
        <w:spacing w:before="20" w:after="120"/>
      </w:pPr>
      <w:r>
        <w:rPr>
          <w:rFonts w:ascii="맑은 고딕" w:hAnsi="맑은 고딕"/>
          <w:rFonts w:ascii="맑은 고딕" w:hAnsi="맑은 고딕" w:eastAsia="맑은 고딕" w:cs="맑은 고딕"/>
          <w:color w:val="808080"/>
          <w:sz w:val="17"/>
        </w:rPr>
        <w:t>출처: 국가법령정보센터 법령해석례 「대기환경보전법상 공기희석행위 적용 여부」, 환경부 대기환경 질의회신 사례집(2017) 140면</w:t>
      </w:r>
    </w:p>
    <w:p>
      <w:pPr>
        <w:pStyle w:val="3"/>
      </w:pPr>
      <w:r>
        <w:rPr>
          <w:rFonts w:ascii="맑은 고딕" w:hAnsi="맑은 고딕" w:eastAsia="맑은 고딕" w:cs="맑은 고딕"/>
          <w:color w:val="000000"/>
        </w:rPr>
        <w:t>나. 오염도 검사 결과가 배출허용기준 이내인 경우</w:t>
      </w:r>
    </w:p>
    <w:p>
      <w:pPr>
        <w:spacing w:after="20"/>
      </w:pPr>
      <w:r>
        <w:rPr>
          <w:rFonts w:ascii="맑은 고딕" w:hAnsi="맑은 고딕" w:eastAsia="맑은 고딕" w:cs="맑은 고딕"/>
          <w:color w:val="000000"/>
          <w:sz w:val="20"/>
        </w:rPr>
        <w:t>공기희석 위반시설의 오염도 검사 결과가 배출허용기준 이내로 나오더라도 공기희석은 적용됩니다. 결과가 아니라 오염도를 낮추는 행위 자체를 규제하기 때문입니다.</w:t>
      </w:r>
    </w:p>
    <w:p>
      <w:pPr>
        <w:spacing w:before="20" w:after="120"/>
      </w:pPr>
      <w:r>
        <w:rPr>
          <w:rFonts w:ascii="맑은 고딕" w:hAnsi="맑은 고딕"/>
          <w:rFonts w:ascii="맑은 고딕" w:hAnsi="맑은 고딕" w:eastAsia="맑은 고딕" w:cs="맑은 고딕"/>
          <w:color w:val="808080"/>
          <w:sz w:val="17"/>
        </w:rPr>
        <w:t>출처: 국가법령정보센터 법령해석례 「대기환경보전법상 공기희석행위 적용 여부」, 환경부 대기환경 질의회신 사례집(2017) 140면</w:t>
      </w:r>
    </w:p>
    <w:p>
      <w:pPr>
        <w:pStyle w:val="3"/>
      </w:pPr>
      <w:r>
        <w:rPr>
          <w:rFonts w:ascii="맑은 고딕" w:hAnsi="맑은 고딕" w:eastAsia="맑은 고딕" w:cs="맑은 고딕"/>
          <w:color w:val="000000"/>
        </w:rPr>
        <w:t>다. 작업환경 개선을 위한 환기ㆍ급기시설인 경우</w:t>
      </w:r>
    </w:p>
    <w:p>
      <w:pPr>
        <w:spacing w:after="40"/>
      </w:pPr>
      <w:r>
        <w:rPr>
          <w:rFonts w:ascii="맑은 고딕" w:hAnsi="맑은 고딕" w:eastAsia="맑은 고딕" w:cs="맑은 고딕"/>
          <w:color w:val="000000"/>
          <w:sz w:val="20"/>
        </w:rPr>
        <w:t>산업안전보건법에 따라 근로자의 작업환경 개선을 위하여 설치한 환기시설이라도, 배출시설이나 방지시설에 연결되어 그 적정운영에 영향을 미치는 경우에는 공기희석에 해당하는지 검토하여야 합니다.</w:t>
      </w:r>
    </w:p>
    <w:p>
      <w:pPr>
        <w:spacing w:after="20"/>
      </w:pPr>
      <w:r>
        <w:rPr>
          <w:rFonts w:ascii="맑은 고딕" w:hAnsi="맑은 고딕" w:eastAsia="맑은 고딕" w:cs="맑은 고딕"/>
          <w:color w:val="000000"/>
          <w:sz w:val="20"/>
        </w:rPr>
        <w:t>다만 환기시설이 배출시설ㆍ방지시설과 무관하게 독립적으로 설치되어 배출 오염물질이 흡입되지 않도록 조치된 경우에는 대기배출시설에 해당하지 않습니다. 또한 공기희석 의도 없이 작업환경 개선이나 방지시설의 기능 발휘를 위하여 설치한 시설로서 방지시설의 적정운영에 영향을 미치는 경우에는, 관할 행정기관에 사전 신고한 경우에 한하여 공기희석에서 배제될 수 있습니다.</w:t>
      </w:r>
    </w:p>
    <w:p>
      <w:pPr>
        <w:spacing w:before="20" w:after="120"/>
      </w:pPr>
      <w:r>
        <w:rPr>
          <w:rFonts w:ascii="맑은 고딕" w:hAnsi="맑은 고딕"/>
          <w:rFonts w:ascii="맑은 고딕" w:hAnsi="맑은 고딕" w:eastAsia="맑은 고딕" w:cs="맑은 고딕"/>
          <w:color w:val="808080"/>
          <w:sz w:val="17"/>
        </w:rPr>
        <w:t>출처: 환경부 대기환경 질의회신 사례집(2017) 139면ㆍ140면, 환경부 대기환경 질의회신 사례집(2010)</w:t>
      </w:r>
    </w:p>
    <w:p>
      <w:pPr>
        <w:pStyle w:val="3"/>
      </w:pPr>
      <w:r>
        <w:rPr>
          <w:rFonts w:ascii="맑은 고딕" w:hAnsi="맑은 고딕" w:eastAsia="맑은 고딕" w:cs="맑은 고딕"/>
          <w:color w:val="000000"/>
        </w:rPr>
        <w:t>라. 예외(화재ㆍ폭발 예방 인정)를 받는 시점</w:t>
      </w:r>
    </w:p>
    <w:p>
      <w:pPr>
        <w:spacing w:after="20"/>
      </w:pPr>
      <w:r>
        <w:rPr>
          <w:rFonts w:ascii="맑은 고딕" w:hAnsi="맑은 고딕" w:eastAsia="맑은 고딕" w:cs="맑은 고딕"/>
          <w:color w:val="000000"/>
          <w:sz w:val="20"/>
        </w:rPr>
        <w:t>법제처 법령해석(안건번호 19-0346, 2019년 10월 25일)에 따르면, 제31조제1항제2호 단서의 예외에 해당하려면 사업자는 공기 조절장치나 가지 배출관 등을 설치하기 전에 기후에너지환경부장관 또는 시ㆍ도지사의 인정을 받아야 합니다. 사후에 인정을 받는 것은 허용되지 않습니다.</w:t>
      </w:r>
    </w:p>
    <w:p>
      <w:pPr>
        <w:spacing w:before="20" w:after="120"/>
      </w:pPr>
      <w:r>
        <w:rPr>
          <w:rFonts w:ascii="맑은 고딕" w:hAnsi="맑은 고딕"/>
          <w:rFonts w:ascii="맑은 고딕" w:hAnsi="맑은 고딕" w:eastAsia="맑은 고딕" w:cs="맑은 고딕"/>
          <w:color w:val="808080"/>
          <w:sz w:val="17"/>
        </w:rPr>
        <w:t>출처: 법제처 법령해석 안건번호 19-0346(2019. 10. 25.)</w:t>
      </w:r>
    </w:p>
    <w:p>
      <w:pPr>
        <w:pStyle w:val="3"/>
      </w:pPr>
      <w:r>
        <w:rPr>
          <w:rFonts w:ascii="맑은 고딕" w:hAnsi="맑은 고딕" w:eastAsia="맑은 고딕" w:cs="맑은 고딕"/>
          <w:color w:val="000000"/>
        </w:rPr>
        <w:t>마. 백연 저감을 위한 배가스 희석 시 측정기 위치</w:t>
      </w:r>
    </w:p>
    <w:p>
      <w:pPr>
        <w:spacing w:after="20"/>
      </w:pPr>
      <w:r>
        <w:rPr>
          <w:rFonts w:ascii="맑은 고딕" w:hAnsi="맑은 고딕" w:eastAsia="맑은 고딕" w:cs="맑은 고딕"/>
          <w:color w:val="000000"/>
          <w:sz w:val="20"/>
        </w:rPr>
        <w:t>백연 저감이 불가피하여 배가스를 공기로 희석하여야 하는 경우에는, 굴뚝 자동측정기기(TMS)의 후단에서 희석하여야 합니다. 측정지점의 오염도가 희석으로 왜곡되지 않도록 하기 위함입니다.</w:t>
      </w:r>
    </w:p>
    <w:p>
      <w:pPr>
        <w:spacing w:before="20" w:after="120"/>
      </w:pPr>
      <w:r>
        <w:rPr>
          <w:rFonts w:ascii="맑은 고딕" w:hAnsi="맑은 고딕"/>
          <w:rFonts w:ascii="맑은 고딕" w:hAnsi="맑은 고딕" w:eastAsia="맑은 고딕" w:cs="맑은 고딕"/>
          <w:color w:val="808080"/>
          <w:sz w:val="17"/>
        </w:rPr>
        <w:t>출처: 환경부 대기환경 질의회신 사례집(2010)</w:t>
      </w:r>
    </w:p>
    <w:p>
      <w:pPr>
        <w:pStyle w:val="note"/>
      </w:pPr>
      <w:r>
        <w:rPr>
          <w:rFonts w:ascii="맑은 고딕" w:hAnsi="맑은 고딕" w:eastAsia="맑은 고딕" w:cs="맑은 고딕"/>
          <w:color w:val="000000"/>
        </w:rPr>
        <w:t>※ 위 라목의 예외는 화재나 폭발 등의 사고 예방이라는 사유가 있고, 관할 행정기관의 인정이 설치 전에 선행되어야만 적용됩니다.</w:t>
      </w:r>
    </w:p>
    <w:p/>
    <w:p>
      <w:pPr>
        <w:pStyle w:val="2"/>
      </w:pPr>
      <w:r>
        <w:rPr>
          <w:rFonts w:ascii="맑은 고딕" w:hAnsi="맑은 고딕" w:eastAsia="맑은 고딕" w:cs="맑은 고딕"/>
          <w:color w:val="000000"/>
        </w:rPr>
        <w:t>5. 판례</w:t>
      </w:r>
    </w:p>
    <w:p>
      <w:pPr>
        <w:pStyle w:val="3"/>
      </w:pPr>
      <w:r>
        <w:rPr>
          <w:rFonts w:ascii="맑은 고딕" w:hAnsi="맑은 고딕" w:eastAsia="맑은 고딕" w:cs="맑은 고딕"/>
          <w:color w:val="000000"/>
        </w:rPr>
        <w:t>가. 대법원 2021도9528 판결(2023년 7월 13일 선고)</w:t>
      </w:r>
    </w:p>
    <w:p>
      <w:pPr>
        <w:spacing w:after="20"/>
      </w:pPr>
      <w:r>
        <w:rPr>
          <w:rFonts w:ascii="맑은 고딕" w:hAnsi="맑은 고딕" w:eastAsia="맑은 고딕" w:cs="맑은 고딕"/>
          <w:color w:val="000000"/>
          <w:sz w:val="20"/>
        </w:rPr>
        <w:t>공기를 섞어 배출하는 행위(제31조제1항제1호)가 성립하려면 오염도를 낮추기 위한 목적이 있어야 하며, 그 목적의 존재에 대한 증명책임은 검사에게 있다는 취지의 판결입니다. 이 사건에서 대법원은 검사의 상고를 기각하였습니다. 외부 공기가 유입되었다는 사실만으로 곧바로 유죄가 되는 것은 아니며, 오염도를 낮추려는 목적이 증명되어야 함을 확인한 것으로 볼 수 있습니다.</w:t>
      </w:r>
    </w:p>
    <w:p>
      <w:pPr>
        <w:spacing w:before="20" w:after="120"/>
      </w:pPr>
      <w:r>
        <w:rPr>
          <w:rFonts w:ascii="맑은 고딕" w:hAnsi="맑은 고딕"/>
          <w:rFonts w:ascii="맑은 고딕" w:hAnsi="맑은 고딕" w:eastAsia="맑은 고딕" w:cs="맑은 고딕"/>
          <w:color w:val="808080"/>
          <w:sz w:val="17"/>
        </w:rPr>
        <w:t>출처: 대법원 2021도9528 판결(원심 인천지방법원 2020노1898)</w:t>
      </w:r>
    </w:p>
    <w:p>
      <w:pPr>
        <w:pStyle w:val="3"/>
      </w:pPr>
      <w:r>
        <w:rPr>
          <w:rFonts w:ascii="맑은 고딕" w:hAnsi="맑은 고딕" w:eastAsia="맑은 고딕" w:cs="맑은 고딕"/>
          <w:color w:val="000000"/>
        </w:rPr>
        <w:t>나. 부산지방법원 2001노310 판결(2001년 9월 25일 선고)</w:t>
      </w:r>
    </w:p>
    <w:p>
      <w:pPr>
        <w:spacing w:after="20"/>
      </w:pPr>
      <w:r>
        <w:rPr>
          <w:rFonts w:ascii="맑은 고딕" w:hAnsi="맑은 고딕" w:eastAsia="맑은 고딕" w:cs="맑은 고딕"/>
          <w:color w:val="000000"/>
          <w:sz w:val="20"/>
        </w:rPr>
        <w:t>방지시설을 가동하지 않았더라도, 수차례의 조사에서 적합 판정을 받았고 실제 배출량이 배출허용기준을 크게 밑도는 시설인 경우에는 사회통념상 허용될 만한 상당성이 있어 정당행위로 위법성이 조각된다고 본 사례입니다. 다만 이는 하급심의 예외적 판단이므로 일반화하기는 어렵습니다.</w:t>
      </w:r>
    </w:p>
    <w:p>
      <w:pPr>
        <w:spacing w:before="20" w:after="120"/>
      </w:pPr>
      <w:r>
        <w:rPr>
          <w:rFonts w:ascii="맑은 고딕" w:hAnsi="맑은 고딕"/>
          <w:rFonts w:ascii="맑은 고딕" w:hAnsi="맑은 고딕" w:eastAsia="맑은 고딕" w:cs="맑은 고딕"/>
          <w:color w:val="808080"/>
          <w:sz w:val="17"/>
        </w:rPr>
        <w:t>출처: 부산지방법원 2001노310 판결</w:t>
      </w:r>
    </w:p>
    <w:p>
      <w:pPr>
        <w:pStyle w:val="3"/>
      </w:pPr>
      <w:r>
        <w:rPr>
          <w:rFonts w:ascii="맑은 고딕" w:hAnsi="맑은 고딕" w:eastAsia="맑은 고딕" w:cs="맑은 고딕"/>
          <w:color w:val="000000"/>
        </w:rPr>
        <w:t>다. 대법원 92도1136 판결(1993년 9월 10일 선고)</w:t>
      </w:r>
    </w:p>
    <w:p>
      <w:pPr>
        <w:spacing w:after="20"/>
      </w:pPr>
      <w:r>
        <w:rPr>
          <w:rFonts w:ascii="맑은 고딕" w:hAnsi="맑은 고딕" w:eastAsia="맑은 고딕" w:cs="맑은 고딕"/>
          <w:color w:val="000000"/>
          <w:sz w:val="20"/>
        </w:rPr>
        <w:t>배출허용기준을 초과한 매연을 배출하며 자동차를 운행한 행위는 고의범뿐 아니라 과실범도 처벌 대상이 된다고 본 판결입니다. 배출시설의 공기희석과 직접 관련된 사안은 아니지만, 대기환경보전법 벌칙의 처벌 범위를 이해하는 데 참고가 됩니다.</w:t>
      </w:r>
    </w:p>
    <w:p>
      <w:pPr>
        <w:spacing w:before="20" w:after="120"/>
      </w:pPr>
      <w:r>
        <w:rPr>
          <w:rFonts w:ascii="맑은 고딕" w:hAnsi="맑은 고딕"/>
          <w:rFonts w:ascii="맑은 고딕" w:hAnsi="맑은 고딕" w:eastAsia="맑은 고딕" w:cs="맑은 고딕"/>
          <w:color w:val="808080"/>
          <w:sz w:val="17"/>
        </w:rPr>
        <w:t>출처: 대법원 92도1136 판결</w:t>
      </w:r>
    </w:p>
    <w:p>
      <w:pPr>
        <w:pStyle w:val="2"/>
      </w:pPr>
      <w:r>
        <w:rPr>
          <w:rFonts w:ascii="맑은 고딕" w:hAnsi="맑은 고딕" w:eastAsia="맑은 고딕" w:cs="맑은 고딕"/>
          <w:color w:val="000000"/>
        </w:rPr>
        <w:t>6. 실무 적용 기준</w:t>
      </w:r>
    </w:p>
    <w:p>
      <w:pPr>
        <w:spacing w:after="80"/>
      </w:pPr>
      <w:r>
        <w:rPr>
          <w:rFonts w:ascii="맑은 고딕" w:hAnsi="맑은 고딕" w:eastAsia="맑은 고딕" w:cs="맑은 고딕"/>
          <w:color w:val="000000"/>
          <w:sz w:val="20"/>
        </w:rPr>
        <w:t>지금까지의 법령ㆍ유권해석ㆍ판례를 종합하면 실무상 판단 기준은 다음과 같습니다.</w:t>
      </w:r>
    </w:p>
    <w:p>
      <w:pPr>
        <w:pStyle w:val="3"/>
      </w:pPr>
      <w:r>
        <w:rPr>
          <w:rFonts w:ascii="맑은 고딕" w:hAnsi="맑은 고딕" w:eastAsia="맑은 고딕" w:cs="맑은 고딕"/>
          <w:color w:val="000000"/>
        </w:rPr>
        <w:t>가. 공기희석에 해당하는 경우</w:t>
      </w:r>
    </w:p>
    <w:p>
      <w:pPr>
        <w:spacing w:after="20"/>
      </w:pPr>
      <w:r>
        <w:rPr>
          <w:rFonts w:ascii="맑은 고딕" w:hAnsi="맑은 고딕" w:eastAsia="맑은 고딕" w:cs="맑은 고딕"/>
          <w:color w:val="000000"/>
          <w:sz w:val="20"/>
        </w:rPr>
        <w:t>① 배출시설에서 방지시설로 유입되기 전이나 후에 외부 공기를 강제로 유입하는 경우(후드에 구멍을 내거나 분배관ㆍ급기 덕트를 연결하는 경우 등)</w:t>
      </w:r>
    </w:p>
    <w:p>
      <w:pPr>
        <w:spacing w:after="20"/>
      </w:pPr>
      <w:r>
        <w:rPr>
          <w:rFonts w:ascii="맑은 고딕" w:hAnsi="맑은 고딕" w:eastAsia="맑은 고딕" w:cs="맑은 고딕"/>
          <w:color w:val="000000"/>
          <w:sz w:val="20"/>
        </w:rPr>
        <w:t>② 배기가스량을 늘려 처리가 미흡하더라도 배출허용기준 이내로 맞추는 구조인 경우</w:t>
      </w:r>
    </w:p>
    <w:p>
      <w:pPr>
        <w:spacing w:after="80"/>
      </w:pPr>
      <w:r>
        <w:rPr>
          <w:rFonts w:ascii="맑은 고딕" w:hAnsi="맑은 고딕" w:eastAsia="맑은 고딕" w:cs="맑은 고딕"/>
          <w:color w:val="000000"/>
          <w:sz w:val="20"/>
        </w:rPr>
        <w:t>③ 오염도 검사 결과가 배출허용기준 이내로 나오더라도 위 행위 자체가 있는 경우</w:t>
      </w:r>
    </w:p>
    <w:p>
      <w:pPr>
        <w:pStyle w:val="3"/>
      </w:pPr>
      <w:r>
        <w:rPr>
          <w:rFonts w:ascii="맑은 고딕" w:hAnsi="맑은 고딕" w:eastAsia="맑은 고딕" w:cs="맑은 고딕"/>
          <w:color w:val="000000"/>
        </w:rPr>
        <w:t>나. 공기희석에 해당하지 않거나 허용되는 경우</w:t>
      </w:r>
    </w:p>
    <w:p>
      <w:pPr>
        <w:spacing w:after="20"/>
      </w:pPr>
      <w:r>
        <w:rPr>
          <w:rFonts w:ascii="맑은 고딕" w:hAnsi="맑은 고딕" w:eastAsia="맑은 고딕" w:cs="맑은 고딕"/>
          <w:color w:val="000000"/>
          <w:sz w:val="20"/>
        </w:rPr>
        <w:t>① 배출시설ㆍ방지시설과 완전히 무관하게 독립 설치된 환풍기로서, 배출 오염물질이 흡입되지 않도록 조치된 경우</w:t>
      </w:r>
    </w:p>
    <w:p>
      <w:pPr>
        <w:spacing w:after="20"/>
      </w:pPr>
      <w:r>
        <w:rPr>
          <w:rFonts w:ascii="맑은 고딕" w:hAnsi="맑은 고딕" w:eastAsia="맑은 고딕" w:cs="맑은 고딕"/>
          <w:color w:val="000000"/>
          <w:sz w:val="20"/>
        </w:rPr>
        <w:t>② 화재나 폭발 등의 사고 예방을 위하여 설치 전에 관할 행정기관의 인정을 받은 경우</w:t>
      </w:r>
    </w:p>
    <w:p>
      <w:pPr>
        <w:spacing w:after="80"/>
      </w:pPr>
      <w:r>
        <w:rPr>
          <w:rFonts w:ascii="맑은 고딕" w:hAnsi="맑은 고딕" w:eastAsia="맑은 고딕" w:cs="맑은 고딕"/>
          <w:color w:val="000000"/>
          <w:sz w:val="20"/>
        </w:rPr>
        <w:t>③ 백연 저감 등 불가피한 희석을 굴뚝 자동측정기기(TMS)의 후단에서 하는 경우</w:t>
      </w:r>
    </w:p>
    <w:p>
      <w:pPr>
        <w:pStyle w:val="3"/>
      </w:pPr>
      <w:r>
        <w:rPr>
          <w:rFonts w:ascii="맑은 고딕" w:hAnsi="맑은 고딕" w:eastAsia="맑은 고딕" w:cs="맑은 고딕"/>
          <w:color w:val="000000"/>
        </w:rPr>
        <w:t>다. 절차상 유의사항</w:t>
      </w:r>
    </w:p>
    <w:p>
      <w:pPr>
        <w:spacing w:after="120"/>
      </w:pPr>
      <w:r>
        <w:rPr>
          <w:rFonts w:ascii="맑은 고딕" w:hAnsi="맑은 고딕" w:eastAsia="맑은 고딕" w:cs="맑은 고딕"/>
          <w:color w:val="000000"/>
          <w:sz w:val="20"/>
        </w:rPr>
        <w:t>공기희석 의도가 없이 작업환경 개선이나 방지시설의 기능 발휘를 위한 시설이라도, 방지시설의 적정운영에 영향을 미치는 경우에는 설치 전에 관할 시ㆍ도지사에게 사전 신고하거나 인정을 받아야 공기희석에서 배제될 수 있습니다. 사후 신고는 인정되지 않습니다.</w:t>
      </w:r>
    </w:p>
    <w:p>
      <w:pPr>
        <w:pStyle w:val="2"/>
      </w:pPr>
      <w:r>
        <w:rPr>
          <w:rFonts w:ascii="맑은 고딕" w:hAnsi="맑은 고딕" w:eastAsia="맑은 고딕" w:cs="맑은 고딕"/>
          <w:color w:val="000000"/>
        </w:rPr>
        <w:t>7. 결론</w:t>
      </w:r>
    </w:p>
    <w:p>
      <w:pPr>
        <w:spacing w:after="40"/>
      </w:pPr>
      <w:r>
        <w:rPr>
          <w:rFonts w:ascii="맑은 고딕" w:hAnsi="맑은 고딕" w:eastAsia="맑은 고딕" w:cs="맑은 고딕"/>
          <w:color w:val="000000"/>
          <w:sz w:val="20"/>
        </w:rPr>
        <w:t>대기환경보전법 제31조 제1항은 오염물질에 공기를 섞어 배출하거나, 방지시설을 거치지 않고 배출할 수 있는 공기 조절장치ㆍ가지 배출관을 설치하는 공기희석행위를 원칙적으로 금지합니다.</w:t>
      </w:r>
    </w:p>
    <w:p>
      <w:pPr>
        <w:spacing w:after="120"/>
      </w:pPr>
      <w:r>
        <w:rPr>
          <w:rFonts w:ascii="맑은 고딕" w:hAnsi="맑은 고딕" w:eastAsia="맑은 고딕" w:cs="맑은 고딕"/>
          <w:color w:val="000000"/>
          <w:sz w:val="20"/>
        </w:rPr>
        <w:t>오염도 검사 결과가 배출허용기준 이내로 나오더라도 행위 자체로 위반이 되며, 작업환경 개선 목적이라도 방지시설의 적정운영에 영향을 미치면 설치 전 사전 신고나 인정을 받아야 합니다. 화재ㆍ폭발 예방을 위한 예외 역시 설치 전에 인정을 받은 경우에만 적용됩니다. 위반 시에는 최대 7년 이하의 징역 또는 1억원 이하의 벌금에 처해질 수 있으므로 각별한 주의가 필요합니다.</w:t>
      </w:r>
    </w:p>
    <w:p>
      <w:pPr>
        <w:pStyle w:val="3"/>
      </w:pPr>
      <w:r>
        <w:rPr>
          <w:rFonts w:ascii="맑은 고딕" w:hAnsi="맑은 고딕" w:eastAsia="맑은 고딕" w:cs="맑은 고딕"/>
          <w:color w:val="000000"/>
        </w:rPr>
        <w:t>출처</w:t>
      </w:r>
    </w:p>
    <w:p>
      <w:pPr>
        <w:pStyle w:val="src"/>
      </w:pPr>
      <w:r>
        <w:rPr>
          <w:rFonts w:ascii="맑은 고딕" w:hAnsi="맑은 고딕" w:eastAsia="맑은 고딕" w:cs="맑은 고딕"/>
          <w:color w:val="000000"/>
        </w:rPr>
        <w:t>법령: 대기환경보전법 제31조ㆍ제89조ㆍ제90조ㆍ제94조(국가법령정보센터)</w:t>
      </w:r>
    </w:p>
    <w:p>
      <w:pPr>
        <w:pStyle w:val="src"/>
      </w:pPr>
      <w:r>
        <w:rPr>
          <w:rFonts w:ascii="맑은 고딕" w:hAnsi="맑은 고딕" w:eastAsia="맑은 고딕" w:cs="맑은 고딕"/>
          <w:color w:val="000000"/>
        </w:rPr>
        <w:t>※ 유권해석ㆍ질의회신 및 판례의 개별 출처는 각 항목 하단에 표기하였습니다.</w:t>
      </w:r>
    </w:p>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