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9C765" w14:textId="77777777" w:rsidR="008C2B96" w:rsidRDefault="008C2B96" w:rsidP="00BD490F">
      <w:pPr>
        <w:spacing w:before="100" w:beforeAutospacing="1" w:after="115" w:line="276" w:lineRule="auto"/>
        <w:jc w:val="center"/>
        <w:outlineLvl w:val="0"/>
        <w:rPr>
          <w:rFonts w:ascii="Arial" w:eastAsia="Times New Roman" w:hAnsi="Arial" w:cs="Arial"/>
          <w:b/>
          <w:bCs/>
          <w:kern w:val="36"/>
          <w:sz w:val="36"/>
          <w:szCs w:val="32"/>
        </w:rPr>
      </w:pPr>
      <w:r w:rsidRPr="008C2B96">
        <w:rPr>
          <w:rFonts w:ascii="Arial" w:eastAsia="Times New Roman" w:hAnsi="Arial" w:cs="Arial"/>
          <w:b/>
          <w:bCs/>
          <w:kern w:val="36"/>
          <w:sz w:val="36"/>
          <w:szCs w:val="32"/>
        </w:rPr>
        <w:t xml:space="preserve">Chapter 2: </w:t>
      </w:r>
      <w:r w:rsidR="00883E4E" w:rsidRPr="00C94A54">
        <w:rPr>
          <w:rFonts w:ascii="Arial" w:eastAsia="Times New Roman" w:hAnsi="Arial" w:cs="Arial"/>
          <w:b/>
          <w:bCs/>
          <w:kern w:val="36"/>
          <w:sz w:val="36"/>
          <w:szCs w:val="32"/>
        </w:rPr>
        <w:t>Theoretical Utility</w:t>
      </w:r>
      <w:r w:rsidR="003F0DF9" w:rsidRPr="00C94A54">
        <w:rPr>
          <w:rFonts w:ascii="Arial" w:eastAsia="Times New Roman" w:hAnsi="Arial" w:cs="Arial"/>
          <w:b/>
          <w:bCs/>
          <w:kern w:val="36"/>
          <w:sz w:val="36"/>
          <w:szCs w:val="32"/>
        </w:rPr>
        <w:t xml:space="preserve"> and</w:t>
      </w:r>
      <w:r w:rsidR="00E866E7" w:rsidRPr="00C94A54">
        <w:rPr>
          <w:rFonts w:ascii="Arial" w:eastAsia="Times New Roman" w:hAnsi="Arial" w:cs="Arial"/>
          <w:b/>
          <w:bCs/>
          <w:kern w:val="36"/>
          <w:sz w:val="36"/>
          <w:szCs w:val="32"/>
        </w:rPr>
        <w:t xml:space="preserve"> the</w:t>
      </w:r>
      <w:r w:rsidR="003F0DF9" w:rsidRPr="00C94A54">
        <w:rPr>
          <w:rFonts w:ascii="Arial" w:eastAsia="Times New Roman" w:hAnsi="Arial" w:cs="Arial"/>
          <w:b/>
          <w:bCs/>
          <w:kern w:val="36"/>
          <w:sz w:val="36"/>
          <w:szCs w:val="32"/>
        </w:rPr>
        <w:t xml:space="preserve"> Deductive Approach</w:t>
      </w:r>
      <w:r w:rsidRPr="008C2B96">
        <w:rPr>
          <w:rFonts w:ascii="Arial" w:eastAsia="Times New Roman" w:hAnsi="Arial" w:cs="Arial"/>
          <w:b/>
          <w:bCs/>
          <w:kern w:val="36"/>
          <w:sz w:val="36"/>
          <w:szCs w:val="32"/>
        </w:rPr>
        <w:t xml:space="preserve">: Demonstrating BeSiVa </w:t>
      </w:r>
      <w:r w:rsidR="00610788" w:rsidRPr="008C2B96">
        <w:rPr>
          <w:rFonts w:ascii="Arial" w:eastAsia="Times New Roman" w:hAnsi="Arial" w:cs="Arial"/>
          <w:b/>
          <w:bCs/>
          <w:kern w:val="36"/>
          <w:sz w:val="36"/>
          <w:szCs w:val="32"/>
        </w:rPr>
        <w:t>with</w:t>
      </w:r>
      <w:r w:rsidRPr="008C2B96">
        <w:rPr>
          <w:rFonts w:ascii="Arial" w:eastAsia="Times New Roman" w:hAnsi="Arial" w:cs="Arial"/>
          <w:b/>
          <w:bCs/>
          <w:kern w:val="36"/>
          <w:sz w:val="36"/>
          <w:szCs w:val="32"/>
        </w:rPr>
        <w:t xml:space="preserve"> Different </w:t>
      </w:r>
      <w:r w:rsidR="00D9785E" w:rsidRPr="00C94A54">
        <w:rPr>
          <w:rFonts w:ascii="Arial" w:eastAsia="Times New Roman" w:hAnsi="Arial" w:cs="Arial"/>
          <w:b/>
          <w:bCs/>
          <w:kern w:val="36"/>
          <w:sz w:val="36"/>
          <w:szCs w:val="32"/>
        </w:rPr>
        <w:t>T</w:t>
      </w:r>
      <w:r w:rsidRPr="008C2B96">
        <w:rPr>
          <w:rFonts w:ascii="Arial" w:eastAsia="Times New Roman" w:hAnsi="Arial" w:cs="Arial"/>
          <w:b/>
          <w:bCs/>
          <w:kern w:val="36"/>
          <w:sz w:val="36"/>
          <w:szCs w:val="32"/>
        </w:rPr>
        <w:t xml:space="preserve">heories of </w:t>
      </w:r>
      <w:r w:rsidR="00B64313" w:rsidRPr="00C94A54">
        <w:rPr>
          <w:rFonts w:ascii="Arial" w:eastAsia="Times New Roman" w:hAnsi="Arial" w:cs="Arial"/>
          <w:b/>
          <w:bCs/>
          <w:kern w:val="36"/>
          <w:sz w:val="36"/>
          <w:szCs w:val="32"/>
        </w:rPr>
        <w:t>Turnout</w:t>
      </w:r>
      <w:r w:rsidRPr="008C2B96">
        <w:rPr>
          <w:rFonts w:ascii="Arial" w:eastAsia="Times New Roman" w:hAnsi="Arial" w:cs="Arial"/>
          <w:b/>
          <w:bCs/>
          <w:kern w:val="36"/>
          <w:sz w:val="36"/>
          <w:szCs w:val="32"/>
        </w:rPr>
        <w:t>.</w:t>
      </w:r>
    </w:p>
    <w:p w14:paraId="64F36A39" w14:textId="77777777" w:rsidR="00634293" w:rsidRDefault="00634293" w:rsidP="00BD490F">
      <w:pPr>
        <w:spacing w:before="100" w:beforeAutospacing="1" w:after="115" w:line="276" w:lineRule="auto"/>
        <w:jc w:val="center"/>
        <w:outlineLvl w:val="0"/>
        <w:rPr>
          <w:rFonts w:ascii="Times New Roman" w:eastAsia="Times New Roman" w:hAnsi="Times New Roman" w:cs="Times New Roman"/>
          <w:bCs/>
          <w:kern w:val="36"/>
          <w:szCs w:val="32"/>
        </w:rPr>
      </w:pPr>
      <w:r w:rsidRPr="00634293">
        <w:rPr>
          <w:rFonts w:ascii="Times New Roman" w:eastAsia="Times New Roman" w:hAnsi="Times New Roman" w:cs="Times New Roman"/>
          <w:bCs/>
          <w:kern w:val="36"/>
          <w:szCs w:val="32"/>
        </w:rPr>
        <w:t>By Benjamin Rogers</w:t>
      </w:r>
    </w:p>
    <w:p w14:paraId="693EEDBD" w14:textId="77777777" w:rsidR="004074F8" w:rsidRPr="008C2B96" w:rsidRDefault="004074F8" w:rsidP="00BD490F">
      <w:pPr>
        <w:spacing w:before="100" w:beforeAutospacing="1" w:after="115" w:line="276" w:lineRule="auto"/>
        <w:jc w:val="center"/>
        <w:outlineLvl w:val="0"/>
        <w:rPr>
          <w:rFonts w:ascii="Times New Roman" w:eastAsia="Times New Roman" w:hAnsi="Times New Roman" w:cs="Times New Roman"/>
          <w:bCs/>
          <w:kern w:val="36"/>
          <w:szCs w:val="32"/>
        </w:rPr>
      </w:pPr>
      <w:r>
        <w:rPr>
          <w:rFonts w:ascii="Times New Roman" w:eastAsia="Times New Roman" w:hAnsi="Times New Roman" w:cs="Times New Roman"/>
          <w:bCs/>
          <w:kern w:val="36"/>
          <w:szCs w:val="32"/>
        </w:rPr>
        <w:t>October 2016</w:t>
      </w:r>
    </w:p>
    <w:p w14:paraId="2E334E1E" w14:textId="77777777" w:rsidR="008C2B96" w:rsidRPr="008C2B96" w:rsidRDefault="008C2B96" w:rsidP="008C2B96">
      <w:pPr>
        <w:spacing w:before="100" w:beforeAutospacing="1" w:after="115" w:line="480" w:lineRule="auto"/>
        <w:outlineLvl w:val="4"/>
        <w:rPr>
          <w:rFonts w:ascii="Arial" w:eastAsia="Times New Roman" w:hAnsi="Arial" w:cs="Arial"/>
          <w:b/>
          <w:bCs/>
          <w:sz w:val="28"/>
          <w:szCs w:val="22"/>
        </w:rPr>
      </w:pPr>
      <w:r w:rsidRPr="008C2B96">
        <w:rPr>
          <w:rFonts w:ascii="Arial" w:eastAsia="Times New Roman" w:hAnsi="Arial" w:cs="Arial"/>
          <w:b/>
          <w:bCs/>
          <w:sz w:val="28"/>
          <w:szCs w:val="22"/>
        </w:rPr>
        <w:t>Introduction</w:t>
      </w:r>
    </w:p>
    <w:p w14:paraId="0148A24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previous chapter focused on the logistics of how BeSiVa worked and what could be expected from its use, concentrating on what it found when it was applied to synthetically crafted data, comparing algorithm's findings to the true model. A precise discussion of the algorithm's workings was provided, allowing for its recreation as desired. This explanation was necessary to demonstrate the algorithm's utility for making predictive models from relevant variables. While BeSiVa was incapable of finding every relevant variable in a single trial, the models it created made useful predictions, determining the correct value of the dependent variable and variables used in its creation in a certain percentage of cases. This chapter focuses on using BeSiVa deductively, answering a question of interest using real data and a collection of theoretically specified variables. Looking at the choice to vote, the most relevant theories from three different perspectives are tested and compared using the BeSiVa algorithm.</w:t>
      </w:r>
    </w:p>
    <w:p w14:paraId="5A872FCC" w14:textId="0B3A5538"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demonstrated the algorithm's capabilities at predicting synthetic data, this chapter turns to how BeSiVa can be applied to voter turnout and what a predictive approach may contribute when used deductively. The choice to vote has been considered from many different theoretical angles, with each one posing a differing explanation for why a person decides to turn out to vote. Through the algorithm, the different explanations, and therefore the reasons for including each </w:t>
      </w:r>
      <w:r w:rsidRPr="008C2B96">
        <w:rPr>
          <w:rFonts w:ascii="Times New Roman" w:hAnsi="Times New Roman" w:cs="Times New Roman"/>
        </w:rPr>
        <w:lastRenderedPageBreak/>
        <w:t xml:space="preserve">independent variable, are weighed in comparison to one another, and a set of models using the algorithm's most commonly recommended variables are generated. These models are compared to theoretically specified models, each of which are tested using </w:t>
      </w:r>
      <w:r w:rsidR="003E6AF7">
        <w:rPr>
          <w:rFonts w:ascii="Times New Roman" w:hAnsi="Times New Roman" w:cs="Times New Roman"/>
        </w:rPr>
        <w:t>the</w:t>
      </w:r>
      <w:r w:rsidRPr="008C2B96">
        <w:rPr>
          <w:rFonts w:ascii="Times New Roman" w:hAnsi="Times New Roman" w:cs="Times New Roman"/>
        </w:rPr>
        <w:t xml:space="preserve"> same bootstrapping technique to determine how well they make predictions. </w:t>
      </w:r>
    </w:p>
    <w:p w14:paraId="0F419E6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BeSiVa Algorithm's ability to create useful models is based on the principles of predictive analytics, but it is used deductively here as an alternative to null hypothesis significance testing. Too often, the final arbiter for whether a variable matters or not is based entirely on its p-value (Schrodt 2014), which explains whether a variable is statistically significant. Statistical significance, however focuses purely on whether a variable's true value is zero, saying nothing about the substantive significance of that variable (Cohen 1994). Using statistical significance as the deciding factor in whether an independent variable is truly relevant leads to questionable research findings and outcomes that only appear to make advances in our understanding. </w:t>
      </w:r>
    </w:p>
    <w:p w14:paraId="63675718" w14:textId="19F2AB04"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concentration on statistical significance has led to a series of perverse incentives for researchers that lessen the utility of research, calling seemingly settled conclusions into question. The questions are raised for a variety of reasons including when an individual seeking significance inadvertently or deliberately crafts models that minimize p-values, even if the independent variables aren't necessarily relevant from a substantive perspective (Gelman and Loken 2013). There is also the problem of overstuffing models with an excess of independent variables, creating large models that show marginal significance for a variable of interest, violating parsimony and creating 'garbage can' models (Schrodt 2014). Schrodt also points out that these models trample Achen's rule of three, which suggests that any model with more than three independent variables is incorrectly specified (Achen 2002). Researchers' focus on</w:t>
      </w:r>
      <w:r w:rsidR="000E58CA">
        <w:rPr>
          <w:rFonts w:ascii="Times New Roman" w:hAnsi="Times New Roman" w:cs="Times New Roman"/>
        </w:rPr>
        <w:t xml:space="preserve"> null hypothesis significance testing (hereafter </w:t>
      </w:r>
      <w:r w:rsidRPr="008C2B96">
        <w:rPr>
          <w:rFonts w:ascii="Times New Roman" w:hAnsi="Times New Roman" w:cs="Times New Roman"/>
        </w:rPr>
        <w:t>NHST</w:t>
      </w:r>
      <w:r w:rsidR="000E58CA">
        <w:rPr>
          <w:rFonts w:ascii="Times New Roman" w:hAnsi="Times New Roman" w:cs="Times New Roman"/>
        </w:rPr>
        <w:t>)</w:t>
      </w:r>
      <w:r w:rsidRPr="008C2B96">
        <w:rPr>
          <w:rFonts w:ascii="Times New Roman" w:hAnsi="Times New Roman" w:cs="Times New Roman"/>
        </w:rPr>
        <w:t xml:space="preserve"> as the final arbiter of truth has led to incorrectly validated hypotheses and models that are not parsimonious. </w:t>
      </w:r>
    </w:p>
    <w:p w14:paraId="0E8526F6" w14:textId="54BD0280"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The models NHST incentivizes might be reasonable if they spoke to the utility of the theories they pretended to test, but this is highly unlikely given the way that they a</w:t>
      </w:r>
      <w:r w:rsidR="00692D0C">
        <w:rPr>
          <w:rFonts w:ascii="Times New Roman" w:hAnsi="Times New Roman" w:cs="Times New Roman"/>
        </w:rPr>
        <w:t>re created and implemented. The</w:t>
      </w:r>
      <w:r w:rsidRPr="008C2B96">
        <w:rPr>
          <w:rFonts w:ascii="Times New Roman" w:hAnsi="Times New Roman" w:cs="Times New Roman"/>
        </w:rPr>
        <w:t xml:space="preserve"> utility</w:t>
      </w:r>
      <w:r w:rsidR="000A59B6">
        <w:rPr>
          <w:rFonts w:ascii="Times New Roman" w:hAnsi="Times New Roman" w:cs="Times New Roman"/>
        </w:rPr>
        <w:t xml:space="preserve"> of </w:t>
      </w:r>
      <w:r w:rsidR="00162A39">
        <w:rPr>
          <w:rFonts w:ascii="Times New Roman" w:hAnsi="Times New Roman" w:cs="Times New Roman"/>
        </w:rPr>
        <w:t>models</w:t>
      </w:r>
      <w:r w:rsidRPr="008C2B96">
        <w:rPr>
          <w:rFonts w:ascii="Times New Roman" w:hAnsi="Times New Roman" w:cs="Times New Roman"/>
        </w:rPr>
        <w:t xml:space="preserve"> lies in the ability to not only explain the data that </w:t>
      </w:r>
      <w:r w:rsidR="00A27210">
        <w:rPr>
          <w:rFonts w:ascii="Times New Roman" w:hAnsi="Times New Roman" w:cs="Times New Roman"/>
        </w:rPr>
        <w:t>are</w:t>
      </w:r>
      <w:r w:rsidRPr="008C2B96">
        <w:rPr>
          <w:rFonts w:ascii="Times New Roman" w:hAnsi="Times New Roman" w:cs="Times New Roman"/>
        </w:rPr>
        <w:t xml:space="preserve"> provided, but to predict new observations as well. Prediction provides a </w:t>
      </w:r>
      <w:r w:rsidR="009A3E88">
        <w:rPr>
          <w:rFonts w:ascii="Times New Roman" w:hAnsi="Times New Roman" w:cs="Times New Roman"/>
        </w:rPr>
        <w:t>separate</w:t>
      </w:r>
      <w:r w:rsidRPr="008C2B96">
        <w:rPr>
          <w:rFonts w:ascii="Times New Roman" w:hAnsi="Times New Roman" w:cs="Times New Roman"/>
        </w:rPr>
        <w:t xml:space="preserve"> of test for these models, a test which takes </w:t>
      </w:r>
      <w:r w:rsidR="00FD01AD">
        <w:rPr>
          <w:rFonts w:ascii="Times New Roman" w:hAnsi="Times New Roman" w:cs="Times New Roman"/>
        </w:rPr>
        <w:t xml:space="preserve">research </w:t>
      </w:r>
      <w:r w:rsidRPr="008C2B96">
        <w:rPr>
          <w:rFonts w:ascii="Times New Roman" w:hAnsi="Times New Roman" w:cs="Times New Roman"/>
        </w:rPr>
        <w:t>further down the trail of inference (Mosteller and Tukey 1977).</w:t>
      </w:r>
      <w:r w:rsidR="007B1908">
        <w:rPr>
          <w:rFonts w:ascii="Times New Roman" w:hAnsi="Times New Roman" w:cs="Times New Roman"/>
        </w:rPr>
        <w:t xml:space="preserve"> P</w:t>
      </w:r>
      <w:r w:rsidR="00D9472A">
        <w:rPr>
          <w:rFonts w:ascii="Times New Roman" w:hAnsi="Times New Roman" w:cs="Times New Roman"/>
        </w:rPr>
        <w:t>rediction</w:t>
      </w:r>
      <w:r w:rsidR="00412D8C">
        <w:rPr>
          <w:rFonts w:ascii="Times New Roman" w:hAnsi="Times New Roman" w:cs="Times New Roman"/>
        </w:rPr>
        <w:t xml:space="preserve"> </w:t>
      </w:r>
      <w:r w:rsidR="007118EB">
        <w:rPr>
          <w:rFonts w:ascii="Times New Roman" w:hAnsi="Times New Roman" w:cs="Times New Roman"/>
        </w:rPr>
        <w:t>informs researchers</w:t>
      </w:r>
      <w:r w:rsidR="009C61F8">
        <w:rPr>
          <w:rFonts w:ascii="Times New Roman" w:hAnsi="Times New Roman" w:cs="Times New Roman"/>
        </w:rPr>
        <w:t xml:space="preserve"> about</w:t>
      </w:r>
      <w:r w:rsidR="00412D8C">
        <w:rPr>
          <w:rFonts w:ascii="Times New Roman" w:hAnsi="Times New Roman" w:cs="Times New Roman"/>
        </w:rPr>
        <w:t xml:space="preserve"> </w:t>
      </w:r>
      <w:r w:rsidR="009C61F8">
        <w:rPr>
          <w:rFonts w:ascii="Times New Roman" w:hAnsi="Times New Roman" w:cs="Times New Roman"/>
        </w:rPr>
        <w:t>the overall</w:t>
      </w:r>
      <w:r w:rsidR="002E03F2">
        <w:rPr>
          <w:rFonts w:ascii="Times New Roman" w:hAnsi="Times New Roman" w:cs="Times New Roman"/>
        </w:rPr>
        <w:t xml:space="preserve"> utility of their models, how useful they are in a more rigorous test of </w:t>
      </w:r>
      <w:r w:rsidR="00582F3B">
        <w:rPr>
          <w:rFonts w:ascii="Times New Roman" w:hAnsi="Times New Roman" w:cs="Times New Roman"/>
        </w:rPr>
        <w:t>model</w:t>
      </w:r>
      <w:r w:rsidR="00B133E4">
        <w:rPr>
          <w:rFonts w:ascii="Times New Roman" w:hAnsi="Times New Roman" w:cs="Times New Roman"/>
        </w:rPr>
        <w:t xml:space="preserve"> quality</w:t>
      </w:r>
      <w:r w:rsidR="00602CE6">
        <w:rPr>
          <w:rFonts w:ascii="Times New Roman" w:hAnsi="Times New Roman" w:cs="Times New Roman"/>
        </w:rPr>
        <w:t xml:space="preserve"> than </w:t>
      </w:r>
      <w:r w:rsidR="00E4714E">
        <w:rPr>
          <w:rFonts w:ascii="Times New Roman" w:hAnsi="Times New Roman" w:cs="Times New Roman"/>
        </w:rPr>
        <w:t>statistical</w:t>
      </w:r>
      <w:r w:rsidR="00602CE6">
        <w:rPr>
          <w:rFonts w:ascii="Times New Roman" w:hAnsi="Times New Roman" w:cs="Times New Roman"/>
        </w:rPr>
        <w:t xml:space="preserve"> significance</w:t>
      </w:r>
      <w:r w:rsidR="00412D8C">
        <w:rPr>
          <w:rFonts w:ascii="Times New Roman" w:hAnsi="Times New Roman" w:cs="Times New Roman"/>
        </w:rPr>
        <w:t xml:space="preserve">. </w:t>
      </w:r>
      <w:r w:rsidR="007746C4">
        <w:rPr>
          <w:rFonts w:ascii="Times New Roman" w:hAnsi="Times New Roman" w:cs="Times New Roman"/>
        </w:rPr>
        <w:t>Imagine a voter turnout</w:t>
      </w:r>
      <w:r w:rsidR="00412D8C">
        <w:rPr>
          <w:rFonts w:ascii="Times New Roman" w:hAnsi="Times New Roman" w:cs="Times New Roman"/>
        </w:rPr>
        <w:t xml:space="preserve"> model </w:t>
      </w:r>
      <w:r w:rsidR="007746C4">
        <w:rPr>
          <w:rFonts w:ascii="Times New Roman" w:hAnsi="Times New Roman" w:cs="Times New Roman"/>
        </w:rPr>
        <w:t>that</w:t>
      </w:r>
      <w:r w:rsidR="00412D8C">
        <w:rPr>
          <w:rFonts w:ascii="Times New Roman" w:hAnsi="Times New Roman" w:cs="Times New Roman"/>
        </w:rPr>
        <w:t xml:space="preserve"> </w:t>
      </w:r>
      <w:r w:rsidR="00692EEE">
        <w:rPr>
          <w:rFonts w:ascii="Times New Roman" w:hAnsi="Times New Roman" w:cs="Times New Roman"/>
        </w:rPr>
        <w:t>achieve</w:t>
      </w:r>
      <w:r w:rsidR="007746C4">
        <w:rPr>
          <w:rFonts w:ascii="Times New Roman" w:hAnsi="Times New Roman" w:cs="Times New Roman"/>
        </w:rPr>
        <w:t>s</w:t>
      </w:r>
      <w:r w:rsidR="00692EEE">
        <w:rPr>
          <w:rFonts w:ascii="Times New Roman" w:hAnsi="Times New Roman" w:cs="Times New Roman"/>
        </w:rPr>
        <w:t xml:space="preserve"> significance</w:t>
      </w:r>
      <w:r w:rsidR="00412D8C">
        <w:rPr>
          <w:rFonts w:ascii="Times New Roman" w:hAnsi="Times New Roman" w:cs="Times New Roman"/>
        </w:rPr>
        <w:t xml:space="preserve"> from an explanatory perspective</w:t>
      </w:r>
      <w:r w:rsidR="007746C4">
        <w:rPr>
          <w:rFonts w:ascii="Times New Roman" w:hAnsi="Times New Roman" w:cs="Times New Roman"/>
        </w:rPr>
        <w:t>, validating the hypothes</w:t>
      </w:r>
      <w:r w:rsidR="000470DA">
        <w:rPr>
          <w:rFonts w:ascii="Times New Roman" w:hAnsi="Times New Roman" w:cs="Times New Roman"/>
        </w:rPr>
        <w:t>e</w:t>
      </w:r>
      <w:r w:rsidR="007746C4">
        <w:rPr>
          <w:rFonts w:ascii="Times New Roman" w:hAnsi="Times New Roman" w:cs="Times New Roman"/>
        </w:rPr>
        <w:t xml:space="preserve">s that </w:t>
      </w:r>
      <w:r w:rsidR="00F63E9C">
        <w:rPr>
          <w:rFonts w:ascii="Times New Roman" w:hAnsi="Times New Roman" w:cs="Times New Roman"/>
        </w:rPr>
        <w:t>it tes</w:t>
      </w:r>
      <w:r w:rsidR="007D74F1">
        <w:rPr>
          <w:rFonts w:ascii="Times New Roman" w:hAnsi="Times New Roman" w:cs="Times New Roman"/>
        </w:rPr>
        <w:t>t</w:t>
      </w:r>
      <w:r w:rsidR="00F63E9C">
        <w:rPr>
          <w:rFonts w:ascii="Times New Roman" w:hAnsi="Times New Roman" w:cs="Times New Roman"/>
        </w:rPr>
        <w:t>s. But at t</w:t>
      </w:r>
      <w:r w:rsidR="00456EAA">
        <w:rPr>
          <w:rFonts w:ascii="Times New Roman" w:hAnsi="Times New Roman" w:cs="Times New Roman"/>
        </w:rPr>
        <w:t xml:space="preserve">he same time, this model is completely useless for </w:t>
      </w:r>
      <w:r w:rsidR="00412D8C">
        <w:rPr>
          <w:rFonts w:ascii="Times New Roman" w:hAnsi="Times New Roman" w:cs="Times New Roman"/>
        </w:rPr>
        <w:t xml:space="preserve">predicting new </w:t>
      </w:r>
      <w:r w:rsidR="002804D4">
        <w:rPr>
          <w:rFonts w:ascii="Times New Roman" w:hAnsi="Times New Roman" w:cs="Times New Roman"/>
        </w:rPr>
        <w:t>observations</w:t>
      </w:r>
      <w:r w:rsidR="0042159D">
        <w:rPr>
          <w:rFonts w:ascii="Times New Roman" w:hAnsi="Times New Roman" w:cs="Times New Roman"/>
        </w:rPr>
        <w:t xml:space="preserve">. </w:t>
      </w:r>
      <w:r w:rsidR="000D4B28">
        <w:rPr>
          <w:rFonts w:ascii="Times New Roman" w:hAnsi="Times New Roman" w:cs="Times New Roman"/>
        </w:rPr>
        <w:t>Even with statistical significance, a</w:t>
      </w:r>
      <w:r w:rsidR="0042159D">
        <w:rPr>
          <w:rFonts w:ascii="Times New Roman" w:hAnsi="Times New Roman" w:cs="Times New Roman"/>
        </w:rPr>
        <w:t xml:space="preserve"> </w:t>
      </w:r>
      <w:r w:rsidR="008E3835">
        <w:rPr>
          <w:rFonts w:ascii="Times New Roman" w:hAnsi="Times New Roman" w:cs="Times New Roman"/>
        </w:rPr>
        <w:t xml:space="preserve">model of whether an individual </w:t>
      </w:r>
      <w:r w:rsidR="00E75BA5">
        <w:rPr>
          <w:rFonts w:ascii="Times New Roman" w:hAnsi="Times New Roman" w:cs="Times New Roman"/>
        </w:rPr>
        <w:t xml:space="preserve">turns out to vote </w:t>
      </w:r>
      <w:r w:rsidR="00CF4A1A">
        <w:rPr>
          <w:rFonts w:ascii="Times New Roman" w:hAnsi="Times New Roman" w:cs="Times New Roman"/>
        </w:rPr>
        <w:t>would be considered useless</w:t>
      </w:r>
      <w:r w:rsidR="00D9325F">
        <w:rPr>
          <w:rFonts w:ascii="Times New Roman" w:hAnsi="Times New Roman" w:cs="Times New Roman"/>
        </w:rPr>
        <w:t xml:space="preserve"> if it was unable to </w:t>
      </w:r>
      <w:r w:rsidR="00EF5A7F">
        <w:rPr>
          <w:rFonts w:ascii="Times New Roman" w:hAnsi="Times New Roman" w:cs="Times New Roman"/>
        </w:rPr>
        <w:t>state whether</w:t>
      </w:r>
      <w:r w:rsidR="00D9325F">
        <w:rPr>
          <w:rFonts w:ascii="Times New Roman" w:hAnsi="Times New Roman" w:cs="Times New Roman"/>
        </w:rPr>
        <w:t xml:space="preserve"> someone</w:t>
      </w:r>
      <w:r w:rsidR="0079336D">
        <w:rPr>
          <w:rFonts w:ascii="Times New Roman" w:hAnsi="Times New Roman" w:cs="Times New Roman"/>
        </w:rPr>
        <w:t xml:space="preserve"> not included in the initial estimation was likely to vote</w:t>
      </w:r>
      <w:r w:rsidR="00D9325F">
        <w:rPr>
          <w:rFonts w:ascii="Times New Roman" w:hAnsi="Times New Roman" w:cs="Times New Roman"/>
        </w:rPr>
        <w:t xml:space="preserve"> or not</w:t>
      </w:r>
      <w:r w:rsidR="000D4B28">
        <w:rPr>
          <w:rFonts w:ascii="Times New Roman" w:hAnsi="Times New Roman" w:cs="Times New Roman"/>
        </w:rPr>
        <w:t xml:space="preserve">. </w:t>
      </w:r>
      <w:r w:rsidR="00A32E17">
        <w:rPr>
          <w:rFonts w:ascii="Times New Roman" w:hAnsi="Times New Roman" w:cs="Times New Roman"/>
        </w:rPr>
        <w:t>Explanation</w:t>
      </w:r>
      <w:r w:rsidR="00D044E2">
        <w:rPr>
          <w:rFonts w:ascii="Times New Roman" w:hAnsi="Times New Roman" w:cs="Times New Roman"/>
        </w:rPr>
        <w:t xml:space="preserve"> allows researchers to determine</w:t>
      </w:r>
      <w:r w:rsidR="002B5693">
        <w:rPr>
          <w:rFonts w:ascii="Times New Roman" w:hAnsi="Times New Roman" w:cs="Times New Roman"/>
        </w:rPr>
        <w:t xml:space="preserve"> if </w:t>
      </w:r>
      <w:r w:rsidR="007746C4">
        <w:rPr>
          <w:rFonts w:ascii="Times New Roman" w:hAnsi="Times New Roman" w:cs="Times New Roman"/>
        </w:rPr>
        <w:t xml:space="preserve">the variables and model that </w:t>
      </w:r>
      <w:r w:rsidR="002B5693">
        <w:rPr>
          <w:rFonts w:ascii="Times New Roman" w:hAnsi="Times New Roman" w:cs="Times New Roman"/>
        </w:rPr>
        <w:t>are</w:t>
      </w:r>
      <w:r w:rsidR="00D044E2">
        <w:rPr>
          <w:rFonts w:ascii="Times New Roman" w:hAnsi="Times New Roman" w:cs="Times New Roman"/>
        </w:rPr>
        <w:t xml:space="preserve"> considered</w:t>
      </w:r>
      <w:r w:rsidR="002B5693">
        <w:rPr>
          <w:rFonts w:ascii="Times New Roman" w:hAnsi="Times New Roman" w:cs="Times New Roman"/>
        </w:rPr>
        <w:t xml:space="preserve"> important are capable of</w:t>
      </w:r>
      <w:r w:rsidR="007F0C44">
        <w:rPr>
          <w:rFonts w:ascii="Times New Roman" w:hAnsi="Times New Roman" w:cs="Times New Roman"/>
        </w:rPr>
        <w:t xml:space="preserve"> determining if people </w:t>
      </w:r>
      <w:r w:rsidR="00232510">
        <w:rPr>
          <w:rFonts w:ascii="Times New Roman" w:hAnsi="Times New Roman" w:cs="Times New Roman"/>
        </w:rPr>
        <w:t>included in the model</w:t>
      </w:r>
      <w:r w:rsidR="006D603D">
        <w:rPr>
          <w:rFonts w:ascii="Times New Roman" w:hAnsi="Times New Roman" w:cs="Times New Roman"/>
        </w:rPr>
        <w:t xml:space="preserve"> vote.</w:t>
      </w:r>
      <w:r w:rsidR="002B5693">
        <w:rPr>
          <w:rFonts w:ascii="Times New Roman" w:hAnsi="Times New Roman" w:cs="Times New Roman"/>
        </w:rPr>
        <w:t xml:space="preserve"> </w:t>
      </w:r>
      <w:r w:rsidR="006D603D">
        <w:rPr>
          <w:rFonts w:ascii="Times New Roman" w:hAnsi="Times New Roman" w:cs="Times New Roman"/>
        </w:rPr>
        <w:t>Considering prediction, however allows for the consideration of</w:t>
      </w:r>
      <w:r w:rsidR="00111339">
        <w:rPr>
          <w:rFonts w:ascii="Times New Roman" w:hAnsi="Times New Roman" w:cs="Times New Roman"/>
        </w:rPr>
        <w:t xml:space="preserve"> </w:t>
      </w:r>
      <w:r w:rsidR="00232510">
        <w:rPr>
          <w:rFonts w:ascii="Times New Roman" w:hAnsi="Times New Roman" w:cs="Times New Roman"/>
        </w:rPr>
        <w:t>individuals</w:t>
      </w:r>
      <w:r w:rsidR="006C6C65">
        <w:rPr>
          <w:rFonts w:ascii="Times New Roman" w:hAnsi="Times New Roman" w:cs="Times New Roman"/>
        </w:rPr>
        <w:t xml:space="preserve"> </w:t>
      </w:r>
      <w:r w:rsidR="00AE2D71">
        <w:rPr>
          <w:rFonts w:ascii="Times New Roman" w:hAnsi="Times New Roman" w:cs="Times New Roman"/>
        </w:rPr>
        <w:t>who were</w:t>
      </w:r>
      <w:r w:rsidR="00A32E17">
        <w:rPr>
          <w:rFonts w:ascii="Times New Roman" w:hAnsi="Times New Roman" w:cs="Times New Roman"/>
        </w:rPr>
        <w:t xml:space="preserve"> not </w:t>
      </w:r>
      <w:r w:rsidR="006D603D">
        <w:rPr>
          <w:rFonts w:ascii="Times New Roman" w:hAnsi="Times New Roman" w:cs="Times New Roman"/>
        </w:rPr>
        <w:t>a part of the original model</w:t>
      </w:r>
      <w:r w:rsidR="006C6C65">
        <w:rPr>
          <w:rFonts w:ascii="Times New Roman" w:hAnsi="Times New Roman" w:cs="Times New Roman"/>
        </w:rPr>
        <w:t>.</w:t>
      </w:r>
      <w:r w:rsidR="002B5693">
        <w:rPr>
          <w:rFonts w:ascii="Times New Roman" w:hAnsi="Times New Roman" w:cs="Times New Roman"/>
        </w:rPr>
        <w:t xml:space="preserve"> P</w:t>
      </w:r>
      <w:r w:rsidR="003E611B">
        <w:rPr>
          <w:rFonts w:ascii="Times New Roman" w:hAnsi="Times New Roman" w:cs="Times New Roman"/>
        </w:rPr>
        <w:t xml:space="preserve">rediction </w:t>
      </w:r>
      <w:r w:rsidRPr="008C2B96">
        <w:rPr>
          <w:rFonts w:ascii="Times New Roman" w:hAnsi="Times New Roman" w:cs="Times New Roman"/>
        </w:rPr>
        <w:t>serve</w:t>
      </w:r>
      <w:r w:rsidR="003E611B">
        <w:rPr>
          <w:rFonts w:ascii="Times New Roman" w:hAnsi="Times New Roman" w:cs="Times New Roman"/>
        </w:rPr>
        <w:t>s</w:t>
      </w:r>
      <w:r w:rsidRPr="008C2B96">
        <w:rPr>
          <w:rFonts w:ascii="Times New Roman" w:hAnsi="Times New Roman" w:cs="Times New Roman"/>
        </w:rPr>
        <w:t xml:space="preserve"> as a useful test of models and data</w:t>
      </w:r>
      <w:r w:rsidR="003757F9">
        <w:rPr>
          <w:rFonts w:ascii="Times New Roman" w:hAnsi="Times New Roman" w:cs="Times New Roman"/>
        </w:rPr>
        <w:t xml:space="preserve">, leading to models whose results are robust to repeated testing, making replication </w:t>
      </w:r>
      <w:r w:rsidR="004C147E">
        <w:rPr>
          <w:rFonts w:ascii="Times New Roman" w:hAnsi="Times New Roman" w:cs="Times New Roman"/>
        </w:rPr>
        <w:t xml:space="preserve">far </w:t>
      </w:r>
      <w:r w:rsidR="003757F9">
        <w:rPr>
          <w:rFonts w:ascii="Times New Roman" w:hAnsi="Times New Roman" w:cs="Times New Roman"/>
        </w:rPr>
        <w:t>more likely</w:t>
      </w:r>
      <w:r w:rsidR="009C2B9D">
        <w:rPr>
          <w:rFonts w:ascii="Times New Roman" w:hAnsi="Times New Roman" w:cs="Times New Roman"/>
        </w:rPr>
        <w:t xml:space="preserve"> overall</w:t>
      </w:r>
      <w:r w:rsidRPr="008C2B96">
        <w:rPr>
          <w:rFonts w:ascii="Times New Roman" w:hAnsi="Times New Roman" w:cs="Times New Roman"/>
        </w:rPr>
        <w:t xml:space="preserve"> (Hindman 2015) Failure to make predictions with models denies a useful test of the substantive significance of the model, one which might allow for a better understanding of any phenomena of interest. </w:t>
      </w:r>
    </w:p>
    <w:p w14:paraId="25346CC8" w14:textId="6B22D575"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Failure to make predictions leads to results that are unlikely to replicate and ig</w:t>
      </w:r>
      <w:r w:rsidR="00A03C66">
        <w:rPr>
          <w:rFonts w:ascii="Times New Roman" w:hAnsi="Times New Roman" w:cs="Times New Roman"/>
        </w:rPr>
        <w:t>noring a useful test of results</w:t>
      </w:r>
      <w:r w:rsidRPr="008C2B96">
        <w:rPr>
          <w:rFonts w:ascii="Times New Roman" w:hAnsi="Times New Roman" w:cs="Times New Roman"/>
        </w:rPr>
        <w:t>. In attempting to capture every aspect of the variation in a dependent variable, the models may explain provided data well, but they are also likely to overfit, if new observations are considered.</w:t>
      </w:r>
      <w:r w:rsidR="00A5020E">
        <w:rPr>
          <w:rFonts w:ascii="Times New Roman" w:hAnsi="Times New Roman" w:cs="Times New Roman"/>
        </w:rPr>
        <w:t xml:space="preserve"> Imagine </w:t>
      </w:r>
      <w:r w:rsidR="00081F9E">
        <w:rPr>
          <w:rFonts w:ascii="Times New Roman" w:hAnsi="Times New Roman" w:cs="Times New Roman"/>
        </w:rPr>
        <w:t xml:space="preserve">a model </w:t>
      </w:r>
      <w:r w:rsidR="00A5020E">
        <w:rPr>
          <w:rFonts w:ascii="Times New Roman" w:hAnsi="Times New Roman" w:cs="Times New Roman"/>
        </w:rPr>
        <w:t>was</w:t>
      </w:r>
      <w:r w:rsidR="00081F9E">
        <w:rPr>
          <w:rFonts w:ascii="Times New Roman" w:hAnsi="Times New Roman" w:cs="Times New Roman"/>
        </w:rPr>
        <w:t xml:space="preserve"> capable of providing the</w:t>
      </w:r>
      <w:r w:rsidR="00A5020E">
        <w:rPr>
          <w:rFonts w:ascii="Times New Roman" w:hAnsi="Times New Roman" w:cs="Times New Roman"/>
        </w:rPr>
        <w:t xml:space="preserve"> correct value of the</w:t>
      </w:r>
      <w:r w:rsidR="00081F9E">
        <w:rPr>
          <w:rFonts w:ascii="Times New Roman" w:hAnsi="Times New Roman" w:cs="Times New Roman"/>
        </w:rPr>
        <w:t xml:space="preserve"> dependent variable for every </w:t>
      </w:r>
      <w:r w:rsidR="00DA4DEA">
        <w:rPr>
          <w:rFonts w:ascii="Times New Roman" w:hAnsi="Times New Roman" w:cs="Times New Roman"/>
        </w:rPr>
        <w:t xml:space="preserve">observation used in </w:t>
      </w:r>
      <w:r w:rsidR="0050503E">
        <w:rPr>
          <w:rFonts w:ascii="Times New Roman" w:hAnsi="Times New Roman" w:cs="Times New Roman"/>
        </w:rPr>
        <w:t>its regression</w:t>
      </w:r>
      <w:r w:rsidR="00081F9E">
        <w:rPr>
          <w:rFonts w:ascii="Times New Roman" w:hAnsi="Times New Roman" w:cs="Times New Roman"/>
        </w:rPr>
        <w:t>. In doing so, however</w:t>
      </w:r>
      <w:r w:rsidR="0007174D">
        <w:rPr>
          <w:rFonts w:ascii="Times New Roman" w:hAnsi="Times New Roman" w:cs="Times New Roman"/>
        </w:rPr>
        <w:t xml:space="preserve">, </w:t>
      </w:r>
      <w:r w:rsidR="00413511">
        <w:rPr>
          <w:rFonts w:ascii="Times New Roman" w:hAnsi="Times New Roman" w:cs="Times New Roman"/>
        </w:rPr>
        <w:t>this model</w:t>
      </w:r>
      <w:r w:rsidR="0007174D">
        <w:rPr>
          <w:rFonts w:ascii="Times New Roman" w:hAnsi="Times New Roman" w:cs="Times New Roman"/>
        </w:rPr>
        <w:t xml:space="preserve"> </w:t>
      </w:r>
      <w:r w:rsidR="00345453">
        <w:rPr>
          <w:rFonts w:ascii="Times New Roman" w:hAnsi="Times New Roman" w:cs="Times New Roman"/>
        </w:rPr>
        <w:t>fail</w:t>
      </w:r>
      <w:r w:rsidR="005E36DF">
        <w:rPr>
          <w:rFonts w:ascii="Times New Roman" w:hAnsi="Times New Roman" w:cs="Times New Roman"/>
        </w:rPr>
        <w:t>ed to predict any observation that wasn’t included in the initial regression</w:t>
      </w:r>
      <w:r w:rsidR="00DF10E5">
        <w:rPr>
          <w:rFonts w:ascii="Times New Roman" w:hAnsi="Times New Roman" w:cs="Times New Roman"/>
        </w:rPr>
        <w:t xml:space="preserve">. This is the problem of overfitting, when </w:t>
      </w:r>
      <w:r w:rsidR="00A96BE1">
        <w:rPr>
          <w:rFonts w:ascii="Times New Roman" w:hAnsi="Times New Roman" w:cs="Times New Roman"/>
        </w:rPr>
        <w:t xml:space="preserve">a model is </w:t>
      </w:r>
      <w:r w:rsidR="0059383C">
        <w:rPr>
          <w:rFonts w:ascii="Times New Roman" w:hAnsi="Times New Roman" w:cs="Times New Roman"/>
        </w:rPr>
        <w:t xml:space="preserve">good at </w:t>
      </w:r>
      <w:r w:rsidR="002B287A">
        <w:rPr>
          <w:rFonts w:ascii="Times New Roman" w:hAnsi="Times New Roman" w:cs="Times New Roman"/>
        </w:rPr>
        <w:t>giving accurate</w:t>
      </w:r>
      <w:r w:rsidR="0059383C">
        <w:rPr>
          <w:rFonts w:ascii="Times New Roman" w:hAnsi="Times New Roman" w:cs="Times New Roman"/>
        </w:rPr>
        <w:t xml:space="preserve"> results for </w:t>
      </w:r>
      <w:r w:rsidR="002B287A">
        <w:rPr>
          <w:rFonts w:ascii="Times New Roman" w:hAnsi="Times New Roman" w:cs="Times New Roman"/>
        </w:rPr>
        <w:t xml:space="preserve">data included </w:t>
      </w:r>
      <w:r w:rsidR="009D2C1C">
        <w:rPr>
          <w:rFonts w:ascii="Times New Roman" w:hAnsi="Times New Roman" w:cs="Times New Roman"/>
        </w:rPr>
        <w:t xml:space="preserve">in its estimation, and incapable of </w:t>
      </w:r>
      <w:r w:rsidR="00AD4D88">
        <w:rPr>
          <w:rFonts w:ascii="Times New Roman" w:hAnsi="Times New Roman" w:cs="Times New Roman"/>
        </w:rPr>
        <w:t>giving an accurate</w:t>
      </w:r>
      <w:r w:rsidRPr="008C2B96">
        <w:rPr>
          <w:rFonts w:ascii="Times New Roman" w:hAnsi="Times New Roman" w:cs="Times New Roman"/>
        </w:rPr>
        <w:t xml:space="preserve"> </w:t>
      </w:r>
      <w:r w:rsidR="00BD7830">
        <w:rPr>
          <w:rFonts w:ascii="Times New Roman" w:hAnsi="Times New Roman" w:cs="Times New Roman"/>
        </w:rPr>
        <w:t xml:space="preserve">value when the data </w:t>
      </w:r>
      <w:r w:rsidR="00FB4247">
        <w:rPr>
          <w:rFonts w:ascii="Times New Roman" w:hAnsi="Times New Roman" w:cs="Times New Roman"/>
        </w:rPr>
        <w:t>are not included</w:t>
      </w:r>
      <w:r w:rsidR="00BD7830">
        <w:rPr>
          <w:rFonts w:ascii="Times New Roman" w:hAnsi="Times New Roman" w:cs="Times New Roman"/>
        </w:rPr>
        <w:t xml:space="preserve"> </w:t>
      </w:r>
      <w:r w:rsidRPr="008C2B96">
        <w:rPr>
          <w:rFonts w:ascii="Times New Roman" w:hAnsi="Times New Roman" w:cs="Times New Roman"/>
        </w:rPr>
        <w:t>This makes it difficult to consider</w:t>
      </w:r>
      <w:r w:rsidR="00DA37C1">
        <w:rPr>
          <w:rFonts w:ascii="Times New Roman" w:hAnsi="Times New Roman" w:cs="Times New Roman"/>
        </w:rPr>
        <w:t xml:space="preserve"> </w:t>
      </w:r>
      <w:r w:rsidR="00A03C66">
        <w:rPr>
          <w:rFonts w:ascii="Times New Roman" w:hAnsi="Times New Roman" w:cs="Times New Roman"/>
        </w:rPr>
        <w:t>if</w:t>
      </w:r>
      <w:r w:rsidRPr="008C2B96">
        <w:rPr>
          <w:rFonts w:ascii="Times New Roman" w:hAnsi="Times New Roman" w:cs="Times New Roman"/>
        </w:rPr>
        <w:t xml:space="preserve"> a given model</w:t>
      </w:r>
      <w:r w:rsidR="00051F3A">
        <w:rPr>
          <w:rFonts w:ascii="Times New Roman" w:hAnsi="Times New Roman" w:cs="Times New Roman"/>
        </w:rPr>
        <w:t xml:space="preserve"> is</w:t>
      </w:r>
      <w:r w:rsidRPr="008C2B96">
        <w:rPr>
          <w:rFonts w:ascii="Times New Roman" w:hAnsi="Times New Roman" w:cs="Times New Roman"/>
        </w:rPr>
        <w:t xml:space="preserve"> useful from a predictive standpoint, as overfitted models may predict provided values of the dependent variable well and fail to predict observations that were not included in the regression (Kuhn and Johnson 2013). The predictive perspective needs to be considered for several reasons including parsimony, theoretical utility, and its general usefulness for testing hypotheses, making an approach like BeSiVa useful for reconsidering hypotheses. </w:t>
      </w:r>
    </w:p>
    <w:p w14:paraId="673DFE1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But in light of the utility of the predictive approach, how can a technique like BeSiVa be used in social scientific practice? Using a deductive approach, the BeSiVa algorithm is here used as a means of comparing several different theories of voter turnout. This is in contrast to multiple regression with NHST, which may allow for multiple theories' consideration, but does not choose between them, while NHST has systemic difficulties determining theoretical utility. Multiple theoretical approaches to turnout are developed briefly, before the variables that they specify to predict turnout are provided to the algorithm for testing. Once the algorithm has determined which variables are useful, the selected independent variables are added to models in order of their relevance, and these models tested using a separate bootstrapping approach. </w:t>
      </w:r>
    </w:p>
    <w:p w14:paraId="50496C2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need for a better way to determining whether a theory is not only true, but useful, is called for. This chapter concentrates on using BeSiVa to make that determination among a selection of theories taken from the literature on voter turnout. It is determined that of these theories, psychological, sociological, and mobilization-based explanations, the BeSiVa algorithm's predictions favor the sociological and psychological explanations. Elements of these theories are found to be most useful for making a prediction, especially education, the strength of party identification from psychology, as well an individual's age, and the time that someone lives in a specific location. The comparison allows for a better understanding not only of what drives an individual to vote, but of prosaic elements that are too often ignored and suggest new directions for research on voter turnout. </w:t>
      </w:r>
    </w:p>
    <w:p w14:paraId="2BC61B89" w14:textId="77777777" w:rsidR="008C2B96" w:rsidRPr="008C2B96" w:rsidRDefault="008C2B96" w:rsidP="008C2B96">
      <w:pPr>
        <w:spacing w:before="100" w:beforeAutospacing="1" w:after="115" w:line="480" w:lineRule="auto"/>
        <w:outlineLvl w:val="2"/>
        <w:rPr>
          <w:rFonts w:ascii="Arial" w:eastAsia="Times New Roman" w:hAnsi="Arial" w:cs="Arial"/>
          <w:b/>
          <w:bCs/>
          <w:sz w:val="28"/>
          <w:szCs w:val="28"/>
        </w:rPr>
      </w:pPr>
      <w:r w:rsidRPr="008C2B96">
        <w:rPr>
          <w:rFonts w:ascii="Arial" w:eastAsia="Times New Roman" w:hAnsi="Arial" w:cs="Arial"/>
          <w:b/>
          <w:bCs/>
          <w:sz w:val="28"/>
          <w:szCs w:val="28"/>
        </w:rPr>
        <w:t>A Short History of Voter Turnout</w:t>
      </w:r>
    </w:p>
    <w:p w14:paraId="6A1B1FAC"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Psychological Origins and The Michigan School</w:t>
      </w:r>
    </w:p>
    <w:p w14:paraId="2D9AFF93" w14:textId="2AA16C22"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choice to vote has a lengthy history within political science, and the multiple causal mechanisms that social scientists suggest drive the decision to turn out makes the area an ideal candidate for using a predictive algorithm deductively. Scholars have debated why people vote for over fifty years, leading to a variety of different theoretical models which could use comparison, beginning with the Michigan School. The founders of the Michigan school determined that individuals are more likely not only to make a choice in voting, but to vote in the first place due to their affinity for a political party. Party identification served as an indicator of interest, knowledge, and concern for the outcome of contests where the party a voter identified with was involved (Campbell et al. 1960). Campbell et </w:t>
      </w:r>
      <w:r w:rsidR="00610788" w:rsidRPr="008C2B96">
        <w:rPr>
          <w:rFonts w:ascii="Times New Roman" w:hAnsi="Times New Roman" w:cs="Times New Roman"/>
        </w:rPr>
        <w:t>al</w:t>
      </w:r>
      <w:r w:rsidR="00610788">
        <w:rPr>
          <w:rFonts w:ascii="Times New Roman" w:hAnsi="Times New Roman" w:cs="Times New Roman"/>
        </w:rPr>
        <w:t>.</w:t>
      </w:r>
      <w:r w:rsidR="00610788" w:rsidRPr="008C2B96">
        <w:rPr>
          <w:rFonts w:ascii="Times New Roman" w:hAnsi="Times New Roman" w:cs="Times New Roman"/>
        </w:rPr>
        <w:t>'s</w:t>
      </w:r>
      <w:r w:rsidRPr="008C2B96">
        <w:rPr>
          <w:rFonts w:ascii="Times New Roman" w:hAnsi="Times New Roman" w:cs="Times New Roman"/>
        </w:rPr>
        <w:t xml:space="preserve"> original study of who individuals vote for, focusing on the role of party identification, provided a starting point for decades of research </w:t>
      </w:r>
      <w:r w:rsidR="00F86F2F">
        <w:rPr>
          <w:rFonts w:ascii="Times New Roman" w:hAnsi="Times New Roman" w:cs="Times New Roman"/>
        </w:rPr>
        <w:t xml:space="preserve">on </w:t>
      </w:r>
      <w:r w:rsidRPr="008C2B96">
        <w:rPr>
          <w:rFonts w:ascii="Times New Roman" w:hAnsi="Times New Roman" w:cs="Times New Roman"/>
        </w:rPr>
        <w:t>the question of why people turn out to vote.</w:t>
      </w:r>
    </w:p>
    <w:p w14:paraId="2E4B681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Sociological Theories</w:t>
      </w:r>
    </w:p>
    <w:p w14:paraId="1DE440D3" w14:textId="5CD86CA2"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Although they provided a strong explanation of why a person might decide to vote, Campbell et al. admitted to a potential lack of primacy of their causal reasoning, suggesting that no single datum could explain all aspects of the choice to vote. For this reason, voter turnout could be described as governed by other elements of a potential voter's life, a possibility examined by Wolfinger and Rosenstone, exemplifying the sociological approach to voting (Dalton and Wattenberg 1993). Using the United States Census' current population survey data, Wolfinger and Rosenstone posited that demographics -especially demographics that indicated resources that a voter possessed- could serve as a possible driver of the decision to turn out. Their findings suggested that from the sociological perspective, demographics that indicate resources are key to determining whether an individual is likely to vote. </w:t>
      </w:r>
    </w:p>
    <w:p w14:paraId="5897A0AA" w14:textId="1D28539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Wolfinger and Rosenstone demonstrated the sociological approach by comparing a variety of demographic trends. In doing so, they showed that contrary to the class based suggestions of earlier researchers (Schattschneider 1975), the key resources to turning out were based in the abilities those demographics yielded for navigating bureaucracy and understanding voting. The role of these resources was compared along with the instrumental, expressive, and interest based benefits of voting, and the authors found that certain resource-based demographics mattered more than others. Due to its role as a provider of the ability to work with government, education mattered dramatically, imparting skills and experience necessary to maneuver a government bureaucracy with ease. Similarly, age could impart the ability to navigate political situations, providing the experience to act politically even if a person had little formal education. In addition, whether someone was married mattered; marriage provided a strong interpersonal pressure to vote. In a paradoxical finding, an individual's wealth and free time, resources in the more traditional sense of the word, were not particularly indicative of a person's proclivity to vote. Wealth only mattered if the potential voter was unable to attain a level of comfort, and an individual's free time did not matter at all. If a person's occupation affected likelihood of turnout, it was only in terms of </w:t>
      </w:r>
      <w:r w:rsidR="00610788" w:rsidRPr="008C2B96">
        <w:rPr>
          <w:rFonts w:ascii="Times New Roman" w:hAnsi="Times New Roman" w:cs="Times New Roman"/>
        </w:rPr>
        <w:t>their</w:t>
      </w:r>
      <w:r w:rsidRPr="008C2B96">
        <w:rPr>
          <w:rFonts w:ascii="Times New Roman" w:hAnsi="Times New Roman" w:cs="Times New Roman"/>
        </w:rPr>
        <w:t xml:space="preserve"> interaction with government due to that job, making farmers more likely voters than other similar people. The key question then, in Wolfinger and Rosenstone's theoretical formation, was whether an individual had necessary resources, especially knowledge and experience, in order to vote (1980). While this element of cognitive resources is demonstrated, and their use of census data is groundbreaking, Wolfinger and Rosenstone </w:t>
      </w:r>
      <w:r w:rsidR="004B4D05">
        <w:rPr>
          <w:rFonts w:ascii="Times New Roman" w:hAnsi="Times New Roman" w:cs="Times New Roman"/>
        </w:rPr>
        <w:t>were</w:t>
      </w:r>
      <w:r w:rsidRPr="008C2B96">
        <w:rPr>
          <w:rFonts w:ascii="Times New Roman" w:hAnsi="Times New Roman" w:cs="Times New Roman"/>
        </w:rPr>
        <w:t xml:space="preserve"> also limited by their reliance on the Census, preventing the consideration of alternative hypotheses. </w:t>
      </w:r>
    </w:p>
    <w:p w14:paraId="4BFB7492" w14:textId="6D036D7A"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While the authors of the Michigan school were willing to admit their limitations, suggesting roles for life experiences, Wolfinger and Rosenstone's data makes it difficult</w:t>
      </w:r>
      <w:r w:rsidR="000821DA">
        <w:rPr>
          <w:rFonts w:ascii="Times New Roman" w:hAnsi="Times New Roman" w:cs="Times New Roman"/>
        </w:rPr>
        <w:t xml:space="preserve"> to control for alternatives, such </w:t>
      </w:r>
      <w:r w:rsidR="00EC3007">
        <w:rPr>
          <w:rFonts w:ascii="Times New Roman" w:hAnsi="Times New Roman" w:cs="Times New Roman"/>
        </w:rPr>
        <w:t>as party identification</w:t>
      </w:r>
      <w:r w:rsidR="000821DA">
        <w:rPr>
          <w:rFonts w:ascii="Times New Roman" w:hAnsi="Times New Roman" w:cs="Times New Roman"/>
        </w:rPr>
        <w:t xml:space="preserve"> Campbell et al. (1960)</w:t>
      </w:r>
      <w:r w:rsidRPr="008C2B96">
        <w:rPr>
          <w:rFonts w:ascii="Times New Roman" w:hAnsi="Times New Roman" w:cs="Times New Roman"/>
        </w:rPr>
        <w:t xml:space="preserve">. This inability to test alternatives leads to a failure to consider partisanship, limiting their work's utility due to its inability to test theoretically established </w:t>
      </w:r>
      <w:r w:rsidR="00610788" w:rsidRPr="008C2B96">
        <w:rPr>
          <w:rFonts w:ascii="Times New Roman" w:hAnsi="Times New Roman" w:cs="Times New Roman"/>
        </w:rPr>
        <w:t>alternative</w:t>
      </w:r>
      <w:r w:rsidRPr="008C2B96">
        <w:rPr>
          <w:rFonts w:ascii="Times New Roman" w:hAnsi="Times New Roman" w:cs="Times New Roman"/>
        </w:rPr>
        <w:t xml:space="preserve"> hypotheses. While the authors perceive the contribution of the Michigan school, they are unable to incorporate the Michigan School's findings into their own data. In addition, Wolfinger and Rosenstone mention a collection of causal mechanisms, including the roles of possible drivers of turnout such as a person's interest, as well as instrumental and expressive benefits, but they fail to include any of those potential causal mechanisms beyond acknowledging their existence. For these reasons, Wolfinger and Rosenstone branch out from work that came before, but </w:t>
      </w:r>
      <w:r w:rsidR="00C22BEE">
        <w:rPr>
          <w:rFonts w:ascii="Times New Roman" w:hAnsi="Times New Roman" w:cs="Times New Roman"/>
        </w:rPr>
        <w:t xml:space="preserve">their data makes it impossible to control for non-demographic alternatives, which </w:t>
      </w:r>
      <w:r w:rsidR="0022015F">
        <w:rPr>
          <w:rFonts w:ascii="Times New Roman" w:hAnsi="Times New Roman" w:cs="Times New Roman"/>
        </w:rPr>
        <w:t xml:space="preserve">makes it difficult to describe </w:t>
      </w:r>
      <w:r w:rsidR="0022015F">
        <w:rPr>
          <w:rFonts w:ascii="Times New Roman" w:hAnsi="Times New Roman" w:cs="Times New Roman"/>
          <w:i/>
        </w:rPr>
        <w:t>Who Votes</w:t>
      </w:r>
      <w:r w:rsidR="0022015F">
        <w:rPr>
          <w:rFonts w:ascii="Times New Roman" w:hAnsi="Times New Roman" w:cs="Times New Roman"/>
        </w:rPr>
        <w:t xml:space="preserve"> as building on prior research</w:t>
      </w:r>
      <w:r w:rsidRPr="008C2B96">
        <w:rPr>
          <w:rFonts w:ascii="Times New Roman" w:hAnsi="Times New Roman" w:cs="Times New Roman"/>
        </w:rPr>
        <w:t xml:space="preserve">. </w:t>
      </w:r>
    </w:p>
    <w:p w14:paraId="08B3E49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they posit an alternative portrait of voting to the Michigan school, Wolfinger and Rosenstone are limited by their data, a problem which required a reconsideration of voter turnout. In his attempt to determine why voting declined in the aggregate, Teixeira focuses on individual turnout, and in doing so manages to overcome some of the limitations that hampered Wolfinger and Rosenstone. Exploring the findings of prior research while also further testing the sociological perspective's implications, Teixeira describes how links to party, the state, and media declined between 1964-1980, leading to turnout's overall decline. Despite this focus on the aggregate, Teixeira created an expansive theoretical picture of individual turnout, one which overcame the difficulties of the Wolfinger and Rosenstone's findings while illustrating a new difficulty of the turnout literature. </w:t>
      </w:r>
    </w:p>
    <w:p w14:paraId="7854A59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Teixeira, each links between an individual and overarching institutions, the parties, state, and media represented a connection to different aspects of the political process. Links to party led individuals to have an interpretive framework for the issues, and made election outcomes personal. Links to media similarly gave an interpretive framework to the issues and provided independent meaning to both the election and the issues a person cared about. And links to the state gave individuals motivation to vote due to their self-perception as part of an influential group. The decline of each of these potential causes at the individual level led to a collapse in voter turnout in the aggregate, despite the increase in education, which should lead to increased participation (Wolfinger and Rosenstone 1980), which was considered alongside the controls that Wolfinger and Rosenstone and others suggested as relevant. This allowed for the consideration of the hypotheses of several different approaches, but did so at a cost to the overall work's parsimony and interpretability.</w:t>
      </w:r>
    </w:p>
    <w:p w14:paraId="6261183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Teixeira's consideration of a wealth of causes, it's not clear that each potential theoretically driven causal mechanism is given a fair hearing. Race, region and sex were all dismissed, included as controls despite the author's skepticism about their relevance and the literature's theoretical explanations for their inclusion. This is reasonable, however, given the later findings of Verba et al. who suggested that race did not matter in questions of turnout (1993). In this case the work fell victim to a requirement of the literature, whose discussion of an excess of causes led to a set of models with an excess of variables. But what else could be done? The specification of such models and findings of significance for these variables indicated a need for additional predictors. Even as the models grew to sizes that made their findings difficult to parse, the list of theoretical causes continued to grow, decreasing the likelihood of paring down the theory to a manageable set of explanations.</w:t>
      </w:r>
    </w:p>
    <w:p w14:paraId="41EB2D7B"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Mobilization Theory</w:t>
      </w:r>
    </w:p>
    <w:p w14:paraId="763C9B4D" w14:textId="07AB77A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challenges of the prior literature, and the failure to trim down the list of previous causes, the addition of further causal mechanisms expanded the literature, branching out without cutting down on the number of causes. Such an addition was made by Rosenstone and Hansen, who suggested a new causal mechanism to explain turnout. While an individual's political efficacy and resources are important to the mobilization model, Rosenstone and Hansen's contribution was the inclusion of political actors who could influence the individual. An individual can participate of their own volition, but if the individual lacks the resources necessary to participate, a political organization may step in to bear individual costs of participation. The act of direct contact by one of these organizations lowers the costs of participation for a citizen to the point where they may be able to participate. Rosenstone and Hansen concentrate on political parties for much of their work, but concede that parties are one of many potential mobilizers. In the mobilization model, </w:t>
      </w:r>
      <w:r w:rsidR="00E44A12">
        <w:rPr>
          <w:rFonts w:ascii="Times New Roman" w:hAnsi="Times New Roman" w:cs="Times New Roman"/>
        </w:rPr>
        <w:t>s</w:t>
      </w:r>
      <w:r w:rsidRPr="008C2B96">
        <w:rPr>
          <w:rFonts w:ascii="Times New Roman" w:hAnsi="Times New Roman" w:cs="Times New Roman"/>
        </w:rPr>
        <w:t>ocial organizations such as civil rights groups and unions are also capable of mobilizing voters (2003), allowing other organizations to drive an individual to participate in politics.</w:t>
      </w:r>
    </w:p>
    <w:p w14:paraId="0E1ECE1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direct mobilization that political parties provide, Rosenstone and Hansen suggest that citizens are also mobilized indirectly. Drawing partially on the work of Olsen (1971), Rosenstone and Hansen posit that politically active friends and neighbors may decide to treat voting as a collective action problem. A voter embedded in a network with such individuals receives selective rewards for participation, as well as selective penalties for failure to participate in the electoral process. For this reason, individuals embedded heavily in social networks, indicated by mechanisms such as employment, social group participation, and class, are more likely to be mobilized to participate (Rosenstone and Hansen 2003). For the mobilization model, the act of voting is driven not only by resources and efficacy, but by the mobilization created by political organizations and other actors. </w:t>
      </w:r>
    </w:p>
    <w:p w14:paraId="4ED4F83C" w14:textId="6177D419" w:rsidR="008C2B96" w:rsidRPr="008C2B96" w:rsidRDefault="006116EB" w:rsidP="008C2B96">
      <w:pPr>
        <w:spacing w:before="100" w:beforeAutospacing="1" w:after="115" w:line="480" w:lineRule="auto"/>
        <w:rPr>
          <w:rFonts w:ascii="Times New Roman" w:hAnsi="Times New Roman" w:cs="Times New Roman"/>
        </w:rPr>
      </w:pPr>
      <w:r>
        <w:rPr>
          <w:rFonts w:ascii="Times New Roman" w:hAnsi="Times New Roman" w:cs="Times New Roman"/>
        </w:rPr>
        <w:t xml:space="preserve">Apart </w:t>
      </w:r>
      <w:r w:rsidR="008C2B96" w:rsidRPr="008C2B96">
        <w:rPr>
          <w:rFonts w:ascii="Times New Roman" w:hAnsi="Times New Roman" w:cs="Times New Roman"/>
        </w:rPr>
        <w:t>from the concerns of demographically oriented studies, Rosenstone and Hansen contribute a new causal mechanism, avoiding the pitfalls of</w:t>
      </w:r>
      <w:r w:rsidR="00E46E07">
        <w:rPr>
          <w:rFonts w:ascii="Times New Roman" w:hAnsi="Times New Roman" w:cs="Times New Roman"/>
        </w:rPr>
        <w:t xml:space="preserve"> the</w:t>
      </w:r>
      <w:r w:rsidR="008C2B96" w:rsidRPr="008C2B96">
        <w:rPr>
          <w:rFonts w:ascii="Times New Roman" w:hAnsi="Times New Roman" w:cs="Times New Roman"/>
        </w:rPr>
        <w:t xml:space="preserve"> literature that concentrated on increasingly </w:t>
      </w:r>
      <w:r w:rsidR="00D9633A">
        <w:rPr>
          <w:rFonts w:ascii="Times New Roman" w:hAnsi="Times New Roman" w:cs="Times New Roman"/>
        </w:rPr>
        <w:t xml:space="preserve">large </w:t>
      </w:r>
      <w:r w:rsidR="008C2B96" w:rsidRPr="008C2B96">
        <w:rPr>
          <w:rFonts w:ascii="Times New Roman" w:hAnsi="Times New Roman" w:cs="Times New Roman"/>
        </w:rPr>
        <w:t>subset</w:t>
      </w:r>
      <w:r w:rsidR="00D9633A">
        <w:rPr>
          <w:rFonts w:ascii="Times New Roman" w:hAnsi="Times New Roman" w:cs="Times New Roman"/>
        </w:rPr>
        <w:t xml:space="preserve"> of</w:t>
      </w:r>
      <w:r w:rsidR="008C2B96" w:rsidRPr="008C2B96">
        <w:rPr>
          <w:rFonts w:ascii="Times New Roman" w:hAnsi="Times New Roman" w:cs="Times New Roman"/>
        </w:rPr>
        <w:t xml:space="preserve"> demographic groups. Despite this necessary contribution, however, mobilization theory leads to a series of other problems. While direct mobilization may be easily captured by questioning people about political contact, indirect mobilization remains challenging to operationalize. The authors argue for social group activity as an indicator, but both mobilization and social group participation may be driven by separate causes. Perhaps the personality trait that leads people to be outgoing may serve as a driver of political activity, or social groups are a natural target for direct mobilization by political groups, making the individual a subject of direct mobilization regardless. While the potential problems of operationalizing these aspects of mobilization cast doubt on the theory, the main concern remains the addition of extra causal mechanisms, as opposed to negating the large body of causes that already exist. </w:t>
      </w:r>
    </w:p>
    <w:p w14:paraId="5B43F242"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Additive Contributions and Habitual Voting</w:t>
      </w:r>
    </w:p>
    <w:p w14:paraId="58B1AD5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there has been some effort to pare down the number of theoretical causes of voting, such as the research of Verba et al. (1993), the habit of the literature appears to be the expansion of theoretical causes. Rather than attempting to pare down theoretically specified causal mechanisms, creating a lean but highly relevant set of predictors in the truest sense of the word, researchers focus on adding causes. The primary goal of the turnout literature is to find alternative explanations, even as this adds to the list of possible reasons a 'true model' would require to explain why someone chooses to vote. This trend can be seen in an offshoot of the psychological literature of the choice to vote, which suggests that the turnout is habitual (Brody and Sniderman 1977, Gerber, Green, and Shachar 2003). In some cases, this leads to sidestepping the theoretical </w:t>
      </w:r>
      <w:r w:rsidR="00610788" w:rsidRPr="008C2B96">
        <w:rPr>
          <w:rFonts w:ascii="Times New Roman" w:hAnsi="Times New Roman" w:cs="Times New Roman"/>
        </w:rPr>
        <w:t>underpinnings</w:t>
      </w:r>
      <w:r w:rsidRPr="008C2B96">
        <w:rPr>
          <w:rFonts w:ascii="Times New Roman" w:hAnsi="Times New Roman" w:cs="Times New Roman"/>
        </w:rPr>
        <w:t xml:space="preserve"> of turnout and habit entirely, even mathematically simulating multiple psychological driving mechanisms behind the choice to vote (Fowler 2006). This contribution suggests the true eschewing of theoretical causes, in favor of unnecessary methodological novelties. </w:t>
      </w:r>
    </w:p>
    <w:p w14:paraId="3354850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“voting is for many a habit”, as Brody and Sniderman describe it (1977, 349), the literature demonstrates a struggle to explain the underlying reason that habit affects an individual's choice to vote. When it is considered, the theoretical drivers of the choice to vote are explained by multiple causal phenomena, without necessarily suggesting any convincing explanation. In the case of Gerber, Green, and Shachar, individuals have a psychological impetus to vote over time, one which is verified experimentally (2003). While tracing the idea that voting is a habitual behavior to Aristotle, however, Gerber, Green, and Shachar never isolate the reasoning behind habitual voters, instead identifying a wealth of causes with a verifiable effect. </w:t>
      </w:r>
    </w:p>
    <w:p w14:paraId="4C8038E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habitual choice to vote is experimentally verified by Gerber, Green, and </w:t>
      </w:r>
      <w:r w:rsidR="00610788" w:rsidRPr="008C2B96">
        <w:rPr>
          <w:rFonts w:ascii="Times New Roman" w:hAnsi="Times New Roman" w:cs="Times New Roman"/>
        </w:rPr>
        <w:t>Shachar</w:t>
      </w:r>
      <w:r w:rsidRPr="008C2B96">
        <w:rPr>
          <w:rFonts w:ascii="Times New Roman" w:hAnsi="Times New Roman" w:cs="Times New Roman"/>
        </w:rPr>
        <w:t xml:space="preserve">, but their explanation of why voting is habitual is lacking, due to their ambiguous stance on theoretical reasoning behind their findings. Voting may be habitual due to individuals' enduring response tendencies; it may be that the same stimuli cause the same result again and again, due to the fact that voters exist in a persistent electoral environment; or it may be due to a </w:t>
      </w:r>
      <w:r w:rsidR="00610788" w:rsidRPr="008C2B96">
        <w:rPr>
          <w:rFonts w:ascii="Times New Roman" w:hAnsi="Times New Roman" w:cs="Times New Roman"/>
        </w:rPr>
        <w:t>self-reinforcing</w:t>
      </w:r>
      <w:r w:rsidRPr="008C2B96">
        <w:rPr>
          <w:rFonts w:ascii="Times New Roman" w:hAnsi="Times New Roman" w:cs="Times New Roman"/>
        </w:rPr>
        <w:t xml:space="preserve"> effect, where the choice to vote in one instance leads to an increased likelihood of voting in the future. Of these three explanations, the first two appear to be akin to one another. </w:t>
      </w:r>
      <w:r w:rsidR="00610788">
        <w:rPr>
          <w:rFonts w:ascii="Times New Roman" w:hAnsi="Times New Roman" w:cs="Times New Roman"/>
        </w:rPr>
        <w:t>Individuals vote</w:t>
      </w:r>
      <w:r w:rsidR="00610788" w:rsidRPr="008C2B96">
        <w:rPr>
          <w:rFonts w:ascii="Times New Roman" w:hAnsi="Times New Roman" w:cs="Times New Roman"/>
        </w:rPr>
        <w:t xml:space="preserve"> due to their enduring response tendencies, something which is consistently stimulated within a persistent electoral environment. </w:t>
      </w:r>
      <w:r w:rsidRPr="008C2B96">
        <w:rPr>
          <w:rFonts w:ascii="Times New Roman" w:hAnsi="Times New Roman" w:cs="Times New Roman"/>
        </w:rPr>
        <w:t xml:space="preserve">Meanwhile, the third explanation is a restatement of the original idea, that individuals vote because voting is habit forming. The idea of voting as habitual may be buoyed by experimental evidence, making it difficult to argue that voting is habit forming, but at the same time, the explanation for why voting is habit forming is lacking, a difficulty that makes considering the habitual nature of voting challenging. </w:t>
      </w:r>
    </w:p>
    <w:p w14:paraId="6E12F9A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the difficulty in parsing the causal mechanisms behind the idea of voting as a habit, there is precedent in demonstrating a new method on a question related to the choice to vote. Fowler, for instance, demonstrates a series of techniques through simulation designed as a formal model of the choice to vote (2006). Beginning with a critique of the simulation effort by Bendor, Diermeier, and Ting (2003), Fowler suggests a correction to their behavioral model that better captures the habitual nature of voting. By adjusting feedback of voting, Fowler creates a model that captures the possibility that an individual may not vote, while also capturing a majority of simulated voters' behavior.</w:t>
      </w:r>
    </w:p>
    <w:p w14:paraId="6901A8A1"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By correcting the feedback simulation of Bendor, Diermeier, and Ting, Fowler appears to capture the behavior of voters as it appears outside the simulation. It may be, however, that Fowler is talking past Bendor, Diermeier and Ting, due to the possibility of different ways of considering voter turnout, especially if different types of elections are factored in. To use an example, an individual may vote in a specific subset of all elections such as elections for president, satisfying the criterion that Fowler uses as per the theoretical concept of voting as a habit. For this reason, it may be that the two researchers each have much to contribute, but if different conceptions of turnout are differentiated.</w:t>
      </w:r>
    </w:p>
    <w:p w14:paraId="7FAF24A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When considering how Fowler, in comparison to Bendor, Diermeier and Ting, simulate the choice to vote, it may be that </w:t>
      </w:r>
      <w:r w:rsidR="00610788" w:rsidRPr="008C2B96">
        <w:rPr>
          <w:rFonts w:ascii="Times New Roman" w:hAnsi="Times New Roman" w:cs="Times New Roman"/>
        </w:rPr>
        <w:t>Fowler created</w:t>
      </w:r>
      <w:r w:rsidRPr="008C2B96">
        <w:rPr>
          <w:rFonts w:ascii="Times New Roman" w:hAnsi="Times New Roman" w:cs="Times New Roman"/>
        </w:rPr>
        <w:t xml:space="preserve"> the more realistic simulation. Alternatively, Bendor, Diermeier and Ting's simulation may better reflect the large number of elections that voters could participate in, and attempt to simulate a voter's turnout, perhaps in Presidential elections but eschewing smaller electoral contests such as local or special elections. The two differing conceptions of the choice to vote are based purely in simulation, making it difficult to determine whether such different considerations of vote choice are more accurate for each simulation. Although it is possible that only one of these approaches represents a more accurate way of modeling vote choice, multiple types of turnout may mean that for differing choices on voting, the simulations are appropriate at different intervals.</w:t>
      </w:r>
    </w:p>
    <w:p w14:paraId="7D1DA6F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Regardless of whether voting is a habit, the main concern of including prior turnout in models of the choice to vote is its complete overlap with other potential predictors. An individual with increased education is more likely to turn out, as is a person who has a position whose class makes it easier for them to vote (Wolfinger and Rosenstone 1980, Teixeira 1987). The problem lies in determining whether the person's status as a voter last time differs from their status as an educated, wealthy person, affecting their likelihood of turning out in the same manner. The difficulty then, of determining whether voting is a habit from this data lies in the difficulty of disentangling these different ways of predicting whether a person votes or not. In addition, the theoretical underpinnings for habitual voting do not appear to be strongly specified, especially in comparison to the mobilization, psychological, and sociological theories of voting. For this reason, it is a good idea to focus on theoretically specified variables as a means of determining whether their explanations are sufficient to predict, rather than explain the choice to vote, leaving habitual turnout until a better theoretical explanation can be provided.</w:t>
      </w:r>
    </w:p>
    <w:p w14:paraId="759AD6BF" w14:textId="77777777" w:rsidR="008C2B96" w:rsidRDefault="008C2B96" w:rsidP="008C2B96">
      <w:pPr>
        <w:spacing w:before="100" w:beforeAutospacing="1" w:after="240" w:line="480" w:lineRule="auto"/>
        <w:rPr>
          <w:rFonts w:ascii="Times New Roman" w:hAnsi="Times New Roman" w:cs="Times New Roman"/>
        </w:rPr>
      </w:pPr>
    </w:p>
    <w:p w14:paraId="502D642F" w14:textId="77777777" w:rsidR="00410A84" w:rsidRPr="008C2B96" w:rsidRDefault="00410A84" w:rsidP="008C2B96">
      <w:pPr>
        <w:spacing w:before="100" w:beforeAutospacing="1" w:after="240" w:line="480" w:lineRule="auto"/>
        <w:rPr>
          <w:rFonts w:ascii="Times New Roman" w:hAnsi="Times New Roman" w:cs="Times New Roman"/>
        </w:rPr>
      </w:pPr>
    </w:p>
    <w:p w14:paraId="78693038"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w:t>
      </w:r>
      <w:r w:rsidR="00C6575D" w:rsidRPr="00410A84">
        <w:rPr>
          <w:rFonts w:ascii="Arial" w:eastAsia="Times New Roman" w:hAnsi="Arial" w:cs="Arial"/>
          <w:b/>
          <w:bCs/>
          <w:szCs w:val="22"/>
        </w:rPr>
        <w:t>Literature That Adds, But Does Not Weigh Explanations</w:t>
      </w:r>
    </w:p>
    <w:p w14:paraId="766BC9A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the consideration of each of these differing conceptions of the choice to vote, the problem of the literature is its inability to parse the different theories, to determine which of the conceptions of turnout best reflects what is, rather than what is theorized. This is not reflective of the work of theorists, whose contributions are invaluable, but the means by which the different theories are tested. One of the early critiques made of the social sciences in general, is why multiple phenomena cannot contribute to a topic of interest in equal measure. While the equivocation of different causal mechanisms is not particularly useful due to the fact that it adds little to the understanding of a research topic, the problem of figuring out which theoretical approach provides better predictors of a phenomenon remains unanswered. </w:t>
      </w:r>
    </w:p>
    <w:p w14:paraId="20250370"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the literature is capable of developing endless theoretical explanations, the chance to force them to compete with one another remains untaken. Too often, the literature focuses on adding, rather than subtracting elements of the models, until giant lists of variables are necessary to suitably control for the collection of theoretically suggested causes. Such an approach to determining veracity falls decisively in opposition to parsimony exemplified in Achen's rule of three. To Achen, any model with more than three independent variables is meaningless due to poor specification, arguing that treating the groups within enormous models as something that can be controlled for through dummy variables is incorrect (2002). But the main thrust of the literature does not appear to be to answer Achen, either by arguing against his rule, or by trying to work within it, but to ignore his critiques of research methodology entirely (Schrodt 2014). For this reason, a different approach is needed to </w:t>
      </w:r>
    </w:p>
    <w:p w14:paraId="4701907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a few efforts, such as Verba et al. (1993) have been made to cut down on the number of variables that explain political participation, the main thrust of the literature is to continue expanding lists of relevant variables. The literature focuses on building, rather than sculpting the collection of variables that should be included in understanding the turnout. While multiple causes may drive the choice to vote, and may even simultaneously explain parts of the variation in turnout, a predictive approach such as BeSiVa, similar to other variable selection approaches, allows for a comparison of variables equivalent to sculpting, rather than accumulating. BeSiVa compares the variables which are provided to it, using the information to create a model that best predicts subsets of data held out for the purpose of prediction. </w:t>
      </w:r>
    </w:p>
    <w:p w14:paraId="22100896"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Data</w:t>
      </w:r>
    </w:p>
    <w:p w14:paraId="5C2636C9" w14:textId="7A1D8E66"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order to understand what drove voter turnout, the American National Election Study, or ANES, was selected as a source for data. The ANES serves as a logical choice to study turnout, especially at the level of individual voters. The study's time series cumulative data file allows for consideration of differing drivers behind the choice to vote ranging back to 1948. In addition, the data allows for a consideration of a large collection of potential drivers of turnout in a manner that lets BeSiVa make a comparison of each predictor's relevance. Once any category deemed missing was recoded appropriately, </w:t>
      </w:r>
      <w:r w:rsidR="00745C08">
        <w:rPr>
          <w:rFonts w:ascii="Times New Roman" w:hAnsi="Times New Roman" w:cs="Times New Roman"/>
        </w:rPr>
        <w:t>it was necessary to consider</w:t>
      </w:r>
      <w:r w:rsidRPr="008C2B96">
        <w:rPr>
          <w:rFonts w:ascii="Times New Roman" w:hAnsi="Times New Roman" w:cs="Times New Roman"/>
        </w:rPr>
        <w:t xml:space="preserve"> </w:t>
      </w:r>
      <w:r w:rsidR="00506208">
        <w:rPr>
          <w:rFonts w:ascii="Times New Roman" w:hAnsi="Times New Roman" w:cs="Times New Roman"/>
        </w:rPr>
        <w:t xml:space="preserve">whether a specific election should be chosen, or </w:t>
      </w:r>
      <w:r w:rsidR="005F69AB">
        <w:rPr>
          <w:rFonts w:ascii="Times New Roman" w:hAnsi="Times New Roman" w:cs="Times New Roman"/>
        </w:rPr>
        <w:t>if the entire data</w:t>
      </w:r>
      <w:r w:rsidR="009F55B2">
        <w:rPr>
          <w:rFonts w:ascii="Times New Roman" w:hAnsi="Times New Roman" w:cs="Times New Roman"/>
        </w:rPr>
        <w:t xml:space="preserve"> </w:t>
      </w:r>
      <w:r w:rsidR="005F69AB">
        <w:rPr>
          <w:rFonts w:ascii="Times New Roman" w:hAnsi="Times New Roman" w:cs="Times New Roman"/>
        </w:rPr>
        <w:t>set should be used</w:t>
      </w:r>
      <w:r w:rsidRPr="008C2B96">
        <w:rPr>
          <w:rFonts w:ascii="Times New Roman" w:hAnsi="Times New Roman" w:cs="Times New Roman"/>
        </w:rPr>
        <w:t xml:space="preserve">. While BeSiVa could work on any data set, a selection was needed, and the 2000 election was selected at random from a set of possible years. Like the other possible datasets, the ANES 2000 survey contained the variables suggested by theory, had a sizable number of observations, and was readily available. </w:t>
      </w:r>
    </w:p>
    <w:p w14:paraId="4110A41F"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The Dependent Variable</w:t>
      </w:r>
    </w:p>
    <w:p w14:paraId="367510B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Given the focus on the choice to vote, the operationalization of the dependent variable was relatively straightforward. In one of their survey responses, the ANES asked whether an individual voted in a given election, which was used as a proxy for their behavior. There is an understanding, however, that an individual might decide not to vote, but when queried, would specify that they did due to response bias, (Belli, Traugott, and Beckmann 2001, Tourangeau and Yan 2007). Despite this potential drawback of using survey responses rather than voting records, the risk of response bias is accepted as a limitation of the design, and is irrelevant to the algorithm's ability to predict. Given that the main point of using turnout is to test the algorithm, the risk of response bias in the dependent variable is secondary to the utility of the predictions created. Missing data were properly recoded, and the survey responses were changed into a numeric dichotomous variable with 1 for yes and 0 for no, but no other changes were made to the dependent variable. Having selected turnout as a dependent variable, the algorithm only needed a series of independent variables to create a predictive model of the choice to vote.</w:t>
      </w:r>
    </w:p>
    <w:p w14:paraId="440EA241"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Independent Variables</w:t>
      </w:r>
    </w:p>
    <w:p w14:paraId="007381CA" w14:textId="77777777" w:rsidR="008C2B96" w:rsidRPr="008C2B96" w:rsidRDefault="00610788"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determined that self-reported choice to vote would serve as the dependent variable, </w:t>
      </w:r>
      <w:r>
        <w:rPr>
          <w:rFonts w:ascii="Times New Roman" w:hAnsi="Times New Roman" w:cs="Times New Roman"/>
        </w:rPr>
        <w:t>multiple</w:t>
      </w:r>
      <w:r w:rsidRPr="008C2B96">
        <w:rPr>
          <w:rFonts w:ascii="Times New Roman" w:hAnsi="Times New Roman" w:cs="Times New Roman"/>
        </w:rPr>
        <w:t xml:space="preserve"> independent variables were provided to BeSiVa for its consideration. </w:t>
      </w:r>
      <w:r w:rsidR="008C2B96" w:rsidRPr="008C2B96">
        <w:rPr>
          <w:rFonts w:ascii="Times New Roman" w:hAnsi="Times New Roman" w:cs="Times New Roman"/>
        </w:rPr>
        <w:t>The first variable that was included for consideration was an individual's party identification. Dating back to the Michigan School, party identification may affect an individual's likelihood to turn out due to interest and attachment to the outcome (Campbell et al. 1960, Dalton and Wattenberg 1993). In the ANES data, party identification was measured as a 7 item categorical variable, ranging from strong partisan, weak partisan, independent but leaning towards a party, and truly independent. For the algorithm's consideration, and due to the fact that party strength, rather than party, is theorized to lead a person to turn out to vote, however, party identification was recoded as a numeric variable capturing the strength of an individual's identification. This operationalization of the strength of party ID ranged from 0 for independents to 3 for strong partisans of either party. Thus, party identification, long associated with turnout, was included in a manner consistent with the component expected to correspond to turnout behavior, along with other variables suggested by the literature.</w:t>
      </w:r>
    </w:p>
    <w:p w14:paraId="6A46E49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party identification, a collection of variables based off the opinions of sociological theorists were included, starting with education. Operationalized based on if someone had achieved certain levels of schooling, Wolfinger and Rosenstone theorize that education increases how much individuals pay attention to politics. Education makes politics more enjoyable to follow, as further additional education makes it easier to understand the rules and impact of politics (1980). It has also been suggested that education aids individuals in maneuvering the mechanics of voting (Teixeira 1987), or enables the individual to better parse political information (Rosenstone and Hansen [1993] 2003). Education was included in the ANES as a 6 category factor variable, ranging from finishing grade school to advanced degrees, with values in between to capture whether someone had finished high school or a bachelor's degree. The variable, however, was taken and transformed into a numeric variable, one which captured a person's level of education as a continuous predictor. This operationalization of education was relatively straightforward, and its multiple backing theories and relative agreement made it a necessary addition to the list of variables to consider. </w:t>
      </w:r>
    </w:p>
    <w:p w14:paraId="3CBD711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Education was one example of a variable with multiple proposed causal mechanisms related to turnout behavior, as was age. Age was hypothesized to affect voter turnout as a proxy for political experience, which could substitute for education (Wolfinger and Rosenstone 1980). It was also a potential driver due to the existence of shared generational experience or differing drives at stages of the life cycle (Rosenstone and Hansen [1993] 2003). Age was asked about on the ANES as a numeric variable, and was provided to the algorithm in its unrecoded form, as well as an age squared term, to capture possible non-linearities. This meant that age was included based on how old the individual was at the time of the survey, a continuous predictor of an individual's experience. </w:t>
      </w:r>
    </w:p>
    <w:p w14:paraId="4AA96A8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In addition to variables that indicated a person's cognitive resources, such as age and education, the literature described individuals' connections to media as a possible determinant of turnout behavior. Teixeira suggested that links to the media, operationalized based on how often someone read the newspaper, allowed voters to be more engaged, giving each election a sense of meaning and making an individual more likely to turn out (1987). The ANES inquired about newspaper reading directly, and the number of days per week an individual read the paper was provided to the algorithm as a possible predictor of turnout. The number of days reading the paper was included as a numeric predictor, and ranged from none to seven. With this way of determining how politically connected through the media an individual was, the algorithm could capture these links' overall relevance.</w:t>
      </w:r>
    </w:p>
    <w:p w14:paraId="6068CD0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Due to the fact that it has been defined in multiple ways, political efficacy was challenging to include for the algorithm's consideration. Political efficacy, based in the notion that an individual believes they influence the outcome, has been theorized to increase the likelihood of voting due to the increased sense of accomplishment that such a feeling provides (Teixeira 1987). It can also make things easier for a potential voter, with a sense of personal competence makes someone feel more comfortable participating in politics overall (Rosenstone and Hansen [1993] 2003). Political efficacy is operationalized using this sense of influence over the outcome, helping to determine its role in the prediction of whether a person votes by including it for the algorithm's consideration.</w:t>
      </w:r>
    </w:p>
    <w:p w14:paraId="2F8F7046"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Despite the fact that it has been suggested as a key driver in some corners of the literature, the role of income in predicting turnout has been disputed. While such a resource may make individuals more capable of participating in politics (Schattschneider 1975), Wolfinger and Rosenstone suggested that income only mattered to the point of comfort (1980). Teixeira, by comparison, suggested that greater incomes were capable of easing the challenge of voting as a component of socioeconomic status (1987), while Rosenstone and Hansen suggested that it would make participation more likely, due to an increased likelihood of sharing social circles with the political class ([1993] 2003). To try and capture income's potential role, the income categories of the ANES were recoded as a numeric predictor, treating the different selections of the respondent's income quantile as a driver of political participation. Once it had been recoded, its ability to capture whether income could potentially predict turnout made it an invaluable addition to the list of variables for consideration. </w:t>
      </w:r>
    </w:p>
    <w:p w14:paraId="2CD2ED45"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use of race as a predictor of whether someone turns out to vote has been disputed (Verba et al. 1993) as are individuals' sex and the region in which someone lives (Teixeira 1987). Their roles as operationalizations of historical privilege and political culture (Wolfinger and Rosenstone 1980, Teixeira 1987), however, and their disputed status meant that these demographic predictors should be included in the list of variables to consider. Race was recoded from a 7 point scale based on a </w:t>
      </w:r>
      <w:r w:rsidR="00610788" w:rsidRPr="008C2B96">
        <w:rPr>
          <w:rFonts w:ascii="Times New Roman" w:hAnsi="Times New Roman" w:cs="Times New Roman"/>
        </w:rPr>
        <w:t>self-identification</w:t>
      </w:r>
      <w:r w:rsidRPr="008C2B96">
        <w:rPr>
          <w:rFonts w:ascii="Times New Roman" w:hAnsi="Times New Roman" w:cs="Times New Roman"/>
        </w:rPr>
        <w:t xml:space="preserve"> of ethnicity, which was changed to a dichotomous variable based on whether an individual was in the minority. Region was a 4-fold classification based on whether someone lived in the northeast, north central, south, or west of the United States. Similarly, sex was included for consideration as a binary dichotomous categorical variable. Given their disputed status, these variables are ideal for a predictive algorithm, allowing for their consideration in a more systemic fashion.</w:t>
      </w:r>
    </w:p>
    <w:p w14:paraId="32E5409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Unlike the disputed status of race and other demographic predictors, marital status is a relatively uncontroversial addition to the list of independent variables for the algorithm to consider. Being married lessens the costs on an individual to go out and vote while providing a separate incentive to do so due to an additional stake in the election (Teixeira 1987). While not directly mentioned, marital status makes intuitive sense from a mobilization perspective as well. A second person increases the likelihood of being embedded in social networks, increasing the likelihood of direct and indirect mobilization (Rosenstone and Hansen [1993] 2003). To capture marital status, its effect on networks, and where it put someone, an individual's marital history was considered. Although it was asked about in the ANES from the perspective of whether someone had been married, the variable was dichotomized to focus on whether or not someone was divorced, as a way of separating out those who had been married and separated from those who had not. With this operationalization of an individual's overall marital status, BeSiVa could determine its relationship to turnout due to the inclusion of a variable operationalizing it. </w:t>
      </w:r>
    </w:p>
    <w:p w14:paraId="1FECAAF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Due to their consideration as potential operationalizations of mobilization, a collection of variables </w:t>
      </w:r>
      <w:r w:rsidR="00610788" w:rsidRPr="008C2B96">
        <w:rPr>
          <w:rFonts w:ascii="Times New Roman" w:hAnsi="Times New Roman" w:cs="Times New Roman"/>
        </w:rPr>
        <w:t>was</w:t>
      </w:r>
      <w:r w:rsidRPr="008C2B96">
        <w:rPr>
          <w:rFonts w:ascii="Times New Roman" w:hAnsi="Times New Roman" w:cs="Times New Roman"/>
        </w:rPr>
        <w:t xml:space="preserve"> included to determine whether individuals voted due to political contact. Multiple variables to determine whether an individual had been contacted by a party or some other organization were included for the algorithm's consideration, as well as their employment status, a key predictor of being at the center of a network of potential mobilizing agents (Rosenstone and Hansen [1993] 2003). The ANES captured these responses through a series of dichotomous questions, asking whether an individual had been contacted by the Democratic or Republican parties, any party, or by another political organization. These variables were included for the algorithm's consideration as a means of capturing whether someone had been directly mobilized.</w:t>
      </w:r>
    </w:p>
    <w:p w14:paraId="55689196" w14:textId="77777777" w:rsid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Direct mobilization is a key means of determining participation in the mobilization model of political participation, but it remains half of the main drivers of mobilization theory, and merited inclusion. This was done in the form of an individual's connection to networks through religious participation, asking whether they attended church or not. Church attendance was used to further capture the potential role of such a network, which was asked as a 5-item question based on how often someone went to church over the course of a year. This was recoded, however, into a dichotomous response to determine whether someone attended church or not. With this means of capturing whether an individual was connected to a greater network, a selection of variables most relevant to understanding whether an individual chose to vote or not could be considered by the algorithm. </w:t>
      </w:r>
    </w:p>
    <w:p w14:paraId="27A613FD" w14:textId="77777777" w:rsidR="00410A84" w:rsidRPr="008C2B96" w:rsidRDefault="00410A84" w:rsidP="008C2B96">
      <w:pPr>
        <w:spacing w:before="100" w:beforeAutospacing="1" w:after="115" w:line="480" w:lineRule="auto"/>
        <w:rPr>
          <w:rFonts w:ascii="Times New Roman" w:hAnsi="Times New Roman" w:cs="Times New Roman"/>
        </w:rPr>
      </w:pPr>
    </w:p>
    <w:p w14:paraId="2959AB5A"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Methods and Results</w:t>
      </w:r>
    </w:p>
    <w:p w14:paraId="700F586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Once the variables were recoded into more theoretically appropriate forms, they were provided to the algorithm, which went to work determining which independent variables best predicted turnout behavior. Instead of running the algorithm once, however, the algorithm was run on the same data 100 times, randomly separating the data into different training and test sets each time. The training and test sets were varied by the use of different random seeds, guaranteeing a different division of data each time while also making it possible to recreate results as needed. The data, independent variables, and dependent variables were always the same, as were the arguments provided to the algorithm. These arguments specified five iterations, meaning that the maximum number of variables in any single model the algorithm created was 5. It also specified a threshold of 0.1%, meaning that any variable that could be added to the model would need to make the PCP improve by at least one tenth of one percent, or the algorithm would stop and return its results. The algorithm was run on the data, and the results of the PCP as well as the independent variables were saved, analyzed, and compared against theoretically specified models.</w:t>
      </w:r>
    </w:p>
    <w:p w14:paraId="17BEACC0" w14:textId="77777777"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1</w:t>
      </w:r>
      <w:r w:rsidR="008C2B96" w:rsidRPr="008C2B96">
        <w:rPr>
          <w:rFonts w:ascii="Times New Roman" w:hAnsi="Times New Roman" w:cs="Times New Roman"/>
        </w:rPr>
        <w:t xml:space="preserve"> about here]</w:t>
      </w:r>
    </w:p>
    <w:p w14:paraId="08F6130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From the 100 runs of the algorithm, two of the major outputs related to the final model that BeSiVa recommended, its PCP and the independent variables that it specified, were saved. The PCPs for each of </w:t>
      </w:r>
      <w:r w:rsidR="004C0E85">
        <w:rPr>
          <w:rFonts w:ascii="Times New Roman" w:hAnsi="Times New Roman" w:cs="Times New Roman"/>
        </w:rPr>
        <w:t>the runs may be seen in figure 1</w:t>
      </w:r>
      <w:r w:rsidRPr="008C2B96">
        <w:rPr>
          <w:rFonts w:ascii="Times New Roman" w:hAnsi="Times New Roman" w:cs="Times New Roman"/>
        </w:rPr>
        <w:t>, displayed in the histogram and kernel density plot. This shows the distribution of the PCPs, and notably the mean PCP. On average, the percent correctly predicted of these models is 70.5%, and the median is 70.1%, showing that the models created by BeSiVa are better than a random guess (which would lead to a PCP of 50%), and better than predicting the modal category of the dependent variable for all voters (which would have a PCP of 65.4%). The predictions are concentrated tightly around the mean, with a standard deviation of 2.8%, suggesting that the predictions the algorithm makes are consistent. In addition, a normal distribution created using the mean and standard deviation of the PCPs has been superimposed over the plot, displaying a marked similarity to the PCPs' kernel density</w:t>
      </w:r>
      <w:bookmarkStart w:id="0" w:name="sdfootnote1anc"/>
      <w:r w:rsidRPr="008C2B96">
        <w:rPr>
          <w:rFonts w:ascii="Times New Roman" w:hAnsi="Times New Roman" w:cs="Times New Roman"/>
          <w:vertAlign w:val="superscript"/>
        </w:rPr>
        <w:fldChar w:fldCharType="begin"/>
      </w:r>
      <w:r w:rsidRPr="008C2B96">
        <w:rPr>
          <w:rFonts w:ascii="Times New Roman" w:hAnsi="Times New Roman" w:cs="Times New Roman"/>
          <w:vertAlign w:val="superscript"/>
        </w:rPr>
        <w:instrText xml:space="preserve"> HYPERLINK "" \l "sdfootnote1sym" </w:instrText>
      </w:r>
      <w:r w:rsidRPr="008C2B96">
        <w:rPr>
          <w:rFonts w:ascii="Times New Roman" w:hAnsi="Times New Roman" w:cs="Times New Roman"/>
          <w:vertAlign w:val="superscript"/>
        </w:rPr>
        <w:fldChar w:fldCharType="separate"/>
      </w:r>
      <w:r w:rsidRPr="008C2B96">
        <w:rPr>
          <w:rFonts w:ascii="Times New Roman" w:hAnsi="Times New Roman" w:cs="Times New Roman"/>
          <w:color w:val="0000FF"/>
          <w:sz w:val="14"/>
          <w:szCs w:val="14"/>
          <w:u w:val="single"/>
          <w:vertAlign w:val="superscript"/>
        </w:rPr>
        <w:t>1</w:t>
      </w:r>
      <w:r w:rsidRPr="008C2B96">
        <w:rPr>
          <w:rFonts w:ascii="Times New Roman" w:hAnsi="Times New Roman" w:cs="Times New Roman"/>
          <w:vertAlign w:val="superscript"/>
        </w:rPr>
        <w:fldChar w:fldCharType="end"/>
      </w:r>
      <w:bookmarkEnd w:id="0"/>
      <w:r w:rsidRPr="008C2B96">
        <w:rPr>
          <w:rFonts w:ascii="Times New Roman" w:hAnsi="Times New Roman" w:cs="Times New Roman"/>
        </w:rPr>
        <w:t xml:space="preserve">. This plot provides a demonstration of the PCPs from the models that the algorithm generates, which may be compared to the predictions made by theoretically specified models. </w:t>
      </w:r>
    </w:p>
    <w:p w14:paraId="63459045" w14:textId="77777777" w:rsidR="008C2B96" w:rsidRPr="008C2B96" w:rsidRDefault="004C0E85"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2</w:t>
      </w:r>
      <w:r w:rsidR="008C2B96" w:rsidRPr="008C2B96">
        <w:rPr>
          <w:rFonts w:ascii="Times New Roman" w:hAnsi="Times New Roman" w:cs="Times New Roman"/>
        </w:rPr>
        <w:t xml:space="preserve"> about here]</w:t>
      </w:r>
    </w:p>
    <w:p w14:paraId="7EBC89E5" w14:textId="49FEEFB3"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compare BeSiVa's models to the theoretically specified models from the literature, it is necessary to compare predictions. To make this comparison, the models using variables specified by Campbell et al., Teixeira, and Rosenstone and Hansen were created with 20% of observations held out at random, placing them in a test set.</w:t>
      </w:r>
      <w:r w:rsidR="001B6749">
        <w:rPr>
          <w:rFonts w:ascii="Times New Roman" w:hAnsi="Times New Roman" w:cs="Times New Roman"/>
        </w:rPr>
        <w:t xml:space="preserve"> </w:t>
      </w:r>
      <w:r w:rsidR="006476C9">
        <w:rPr>
          <w:rFonts w:ascii="Times New Roman" w:hAnsi="Times New Roman" w:cs="Times New Roman"/>
        </w:rPr>
        <w:t>While the full specifications for these models may be seen in table 3,</w:t>
      </w:r>
      <w:r w:rsidR="00BC47EC">
        <w:rPr>
          <w:rFonts w:ascii="Times New Roman" w:hAnsi="Times New Roman" w:cs="Times New Roman"/>
        </w:rPr>
        <w:t xml:space="preserve"> Campbell et al.’s model only included party identification, while Rosenstone and Hansen included efficacy, education, income, age, and network</w:t>
      </w:r>
      <w:r w:rsidR="00426CC1">
        <w:rPr>
          <w:rFonts w:ascii="Times New Roman" w:hAnsi="Times New Roman" w:cs="Times New Roman"/>
        </w:rPr>
        <w:t xml:space="preserve"> placement indicators, including</w:t>
      </w:r>
      <w:r w:rsidR="00103FBA">
        <w:rPr>
          <w:rFonts w:ascii="Times New Roman" w:hAnsi="Times New Roman" w:cs="Times New Roman"/>
        </w:rPr>
        <w:t xml:space="preserve"> church attendance and contact </w:t>
      </w:r>
      <w:r w:rsidR="00014259">
        <w:rPr>
          <w:rFonts w:ascii="Times New Roman" w:hAnsi="Times New Roman" w:cs="Times New Roman"/>
        </w:rPr>
        <w:t xml:space="preserve">from parties and other organizations. </w:t>
      </w:r>
      <w:r w:rsidR="001B5DF3">
        <w:rPr>
          <w:rFonts w:ascii="Times New Roman" w:hAnsi="Times New Roman" w:cs="Times New Roman"/>
        </w:rPr>
        <w:t xml:space="preserve">Teixeira, meanwhile, included a variety of </w:t>
      </w:r>
      <w:r w:rsidR="001A0DCD">
        <w:rPr>
          <w:rFonts w:ascii="Times New Roman" w:hAnsi="Times New Roman" w:cs="Times New Roman"/>
        </w:rPr>
        <w:t xml:space="preserve">demographic data, links to the media, operationalized by </w:t>
      </w:r>
      <w:r w:rsidR="00C307F6">
        <w:rPr>
          <w:rFonts w:ascii="Times New Roman" w:hAnsi="Times New Roman" w:cs="Times New Roman"/>
        </w:rPr>
        <w:t xml:space="preserve">the days someone read the paper, political efficacy, as well as the strength of partisan identification. </w:t>
      </w:r>
      <w:r w:rsidRPr="008C2B96">
        <w:rPr>
          <w:rFonts w:ascii="Times New Roman" w:hAnsi="Times New Roman" w:cs="Times New Roman"/>
        </w:rPr>
        <w:t>Just like the BeSiVa algorithm, PCPs were generated on the held out data for the theoretical models. This process was repeated 100 times, and the PCPs for these models and one created from the four variables suggested by BeSiVa were</w:t>
      </w:r>
      <w:r w:rsidR="004C0E85">
        <w:rPr>
          <w:rFonts w:ascii="Times New Roman" w:hAnsi="Times New Roman" w:cs="Times New Roman"/>
        </w:rPr>
        <w:t xml:space="preserve"> saved and displayed in figure 2. Figure 2</w:t>
      </w:r>
      <w:r w:rsidRPr="008C2B96">
        <w:rPr>
          <w:rFonts w:ascii="Times New Roman" w:hAnsi="Times New Roman" w:cs="Times New Roman"/>
        </w:rPr>
        <w:t xml:space="preserve"> shows a set of box plots which are compared to choosing the mode for all observations. As signified by the blue line, choosing the mode of the dependent variable for all observations would lead to a prediction that is 65.4% accurate, the proportion of people who said they voted. This shows that where accuracy is concerned, only BeSiVa's and Campbell et al.'s variable choices do better than picking the modal category for all observations. The black bars in the boxes represent the median, the central point of the data, allowing the theoretical models to be compared to one created by the algorithm, whose models had a median PCP of 70.1%. The box plots show that the median PCPs generated by the theoretically specified models are smaller than the median PCP of BeSiVa. This suggests that despite their theoretical specification, these models are not as capable of making predictions as one specified by the algorithm.</w:t>
      </w:r>
    </w:p>
    <w:p w14:paraId="22030670" w14:textId="77777777" w:rsidR="008C2B96" w:rsidRPr="008C2B96" w:rsidRDefault="00E11116" w:rsidP="008C2B96">
      <w:pPr>
        <w:spacing w:before="100" w:beforeAutospacing="1" w:after="115" w:line="480" w:lineRule="auto"/>
        <w:jc w:val="center"/>
        <w:rPr>
          <w:rFonts w:ascii="Times New Roman" w:hAnsi="Times New Roman" w:cs="Times New Roman"/>
        </w:rPr>
      </w:pPr>
      <w:r>
        <w:rPr>
          <w:rFonts w:ascii="Times New Roman" w:hAnsi="Times New Roman" w:cs="Times New Roman"/>
        </w:rPr>
        <w:t>[Figure 3</w:t>
      </w:r>
      <w:r w:rsidR="008C2B96" w:rsidRPr="008C2B96">
        <w:rPr>
          <w:rFonts w:ascii="Times New Roman" w:hAnsi="Times New Roman" w:cs="Times New Roman"/>
        </w:rPr>
        <w:t xml:space="preserve"> about here]</w:t>
      </w:r>
    </w:p>
    <w:p w14:paraId="691AAE0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PCPs, the algorithm also provided a selection of independent variables in its final model, those that maximized the percent correctly predicted. These variables were saved and plotted in figure </w:t>
      </w:r>
      <w:r w:rsidR="00E11116">
        <w:rPr>
          <w:rFonts w:ascii="Times New Roman" w:hAnsi="Times New Roman" w:cs="Times New Roman"/>
        </w:rPr>
        <w:t>3</w:t>
      </w:r>
      <w:r w:rsidRPr="008C2B96">
        <w:rPr>
          <w:rFonts w:ascii="Times New Roman" w:hAnsi="Times New Roman" w:cs="Times New Roman"/>
        </w:rPr>
        <w:t>, with the x axis representing the number of times each variable was selected, and the y axis naming each independent variable selected by the algorithm. Unsurprisingly, the most commonly selected variable for predicting whether an individual turned out to vote is their level of education, chosen in approximately four fifths of the algorithm's selections of independent variables. Following closely is the strength of an individual's party identification, chosen over half of the time. These two variables are chosen often enough that based on the strength of the theories underlying their inclusion, and their performance in the algorithm, any model created from the results of BeSiVa ought to include education and party identification.</w:t>
      </w:r>
    </w:p>
    <w:p w14:paraId="3F94583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While education and party identification are the two most commonly included predictors in the algorithm's results, it is hardly surprising that these two well explored, theoretically validated variables were found to be useful in predicting vote choice. Surprisingly, however, the operationalization of mobility, the time spent in one's house, is the third most selected predictor, suggesting that residential mobility is important in determining an individual's likelihood to vote</w:t>
      </w:r>
      <w:r w:rsidRPr="008C2B96">
        <w:rPr>
          <w:rFonts w:ascii="Times New Roman" w:hAnsi="Times New Roman" w:cs="Times New Roman"/>
          <w:vertAlign w:val="subscript"/>
        </w:rPr>
        <w:t>2</w:t>
      </w:r>
      <w:bookmarkStart w:id="1" w:name="sdfootnote2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"sdfootnote2sym" </w:instrText>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2</w:t>
      </w:r>
      <w:r w:rsidRPr="008C2B96">
        <w:rPr>
          <w:rFonts w:ascii="Times New Roman" w:hAnsi="Times New Roman" w:cs="Times New Roman"/>
          <w:vertAlign w:val="subscript"/>
        </w:rPr>
        <w:fldChar w:fldCharType="end"/>
      </w:r>
      <w:bookmarkEnd w:id="1"/>
      <w:r w:rsidRPr="008C2B96">
        <w:rPr>
          <w:rFonts w:ascii="Times New Roman" w:hAnsi="Times New Roman" w:cs="Times New Roman"/>
        </w:rPr>
        <w:t xml:space="preserve">. The time spent in one's house is highly favored by the algorithm as a predictor, selected third most often of all included independent variables. Perhaps this is due the entrenchment of individuals in a network, making them more susceptible to pressures to vote (Rosenstone and Hansen [1993] 2003), or due to more prosaic concerns. After all, moving requires that a person change their voter registration, a barrier to voting that may lead individuals to stay home on election day. Regardless of the theoretical </w:t>
      </w:r>
      <w:r w:rsidR="00610788" w:rsidRPr="008C2B96">
        <w:rPr>
          <w:rFonts w:ascii="Times New Roman" w:hAnsi="Times New Roman" w:cs="Times New Roman"/>
        </w:rPr>
        <w:t>underpinnings, BeSiVa</w:t>
      </w:r>
      <w:r w:rsidRPr="008C2B96">
        <w:rPr>
          <w:rFonts w:ascii="Times New Roman" w:hAnsi="Times New Roman" w:cs="Times New Roman"/>
        </w:rPr>
        <w:t xml:space="preserve"> selected the time an individual has lived in a house as the third most important predictor in vote choice, necessitating further investigation.</w:t>
      </w:r>
    </w:p>
    <w:p w14:paraId="3908AC2A" w14:textId="77777777" w:rsid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After time spent living in the same house, the rest of the independent variables selected by BeSiVa include few surprises, except perhaps for the fact that after party identification, a predictor favored by the psychological approach (Dalton and Wattenberg 1993), BeSiVa has a definite preference for the sociological approach. The age and age squared terms are selected, demonstrating the predictor's strength in predicting likelihood to vote. The algorithm prefers other demographic predictors, such as an individual's sex, status as a minority, and region, suggesting roles for these sociological predictors in determining vote choice. After the main demographic variables, two of the Mobilization theory's predictors are considered, but these variables were selected in less than 5 of the 100 times the algorithm was run, suggesting that their selection is unlikely to predict turnout in the majority of cases. This test demonstrated the relative quality of the variables selected, suggesting that among those tested, the psychological and sociological theories of vote choice were most relevant for predicting turnout. </w:t>
      </w:r>
    </w:p>
    <w:p w14:paraId="74BA3A78" w14:textId="01E7CF84" w:rsidR="00EA48CD" w:rsidRPr="00EA48CD" w:rsidRDefault="00EA48CD" w:rsidP="00EA48CD">
      <w:pPr>
        <w:spacing w:before="100" w:beforeAutospacing="1" w:after="115" w:line="480" w:lineRule="auto"/>
        <w:outlineLvl w:val="4"/>
        <w:rPr>
          <w:rFonts w:ascii="Arial" w:eastAsia="Times New Roman" w:hAnsi="Arial" w:cs="Arial"/>
          <w:b/>
          <w:bCs/>
          <w:szCs w:val="22"/>
        </w:rPr>
      </w:pPr>
      <w:r>
        <w:rPr>
          <w:rFonts w:ascii="Arial" w:eastAsia="Times New Roman" w:hAnsi="Arial" w:cs="Arial"/>
          <w:b/>
          <w:bCs/>
          <w:szCs w:val="22"/>
        </w:rPr>
        <w:t>Model Validation through Bootstrap</w:t>
      </w:r>
      <w:r w:rsidR="00A5562C">
        <w:rPr>
          <w:rFonts w:ascii="Arial" w:eastAsia="Times New Roman" w:hAnsi="Arial" w:cs="Arial"/>
          <w:b/>
          <w:bCs/>
          <w:szCs w:val="22"/>
        </w:rPr>
        <w:t>ping</w:t>
      </w:r>
      <w:r w:rsidR="00A24CDA">
        <w:rPr>
          <w:rFonts w:ascii="Arial" w:eastAsia="Times New Roman" w:hAnsi="Arial" w:cs="Arial"/>
          <w:b/>
          <w:bCs/>
          <w:szCs w:val="22"/>
        </w:rPr>
        <w:t xml:space="preserve"> </w:t>
      </w:r>
    </w:p>
    <w:p w14:paraId="1CC1A8F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obtained a sense of where theories stood for predicting whether someone chose to turn out or not, the question of how to determine the quality of the variables and models selected by BeSiVa, and compare them in a systemic way to the theoretically specified models became imperative. After all, BeSiVa had provided 100 separate recommendations for independent variables, each of which included a slightly different selection of variables provided to it. In an attempt to establish the quality of models according to the predictive criterion, a process similar to BeSiVa was attempted, comparing models with the variables it suggested against models containing theoretically relevant predictors, which can be seen in 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The results suggested the remarkable power of education in predicting whether or not someone chose to vote, and the difficulty in determining the necessity for predictors beyond 4.</w:t>
      </w:r>
    </w:p>
    <w:p w14:paraId="4C7BE02D" w14:textId="77777777" w:rsidR="008C2B96" w:rsidRPr="008C2B96" w:rsidRDefault="008C2B96" w:rsidP="008C2B96">
      <w:pPr>
        <w:spacing w:before="100" w:beforeAutospacing="1" w:after="115" w:line="480" w:lineRule="auto"/>
        <w:jc w:val="center"/>
        <w:rPr>
          <w:rFonts w:ascii="Times New Roman" w:hAnsi="Times New Roman" w:cs="Times New Roman"/>
        </w:rPr>
      </w:pPr>
      <w:r w:rsidRPr="008C2B96">
        <w:rPr>
          <w:rFonts w:ascii="Times New Roman" w:hAnsi="Times New Roman" w:cs="Times New Roman"/>
        </w:rPr>
        <w:t xml:space="preserve">[Figures </w:t>
      </w:r>
      <w:r w:rsidR="00E11116">
        <w:rPr>
          <w:rFonts w:ascii="Times New Roman" w:hAnsi="Times New Roman" w:cs="Times New Roman"/>
        </w:rPr>
        <w:t>4</w:t>
      </w:r>
      <w:r w:rsidRPr="008C2B96">
        <w:rPr>
          <w:rFonts w:ascii="Times New Roman" w:hAnsi="Times New Roman" w:cs="Times New Roman"/>
        </w:rPr>
        <w:t>-</w:t>
      </w:r>
      <w:r w:rsidR="00E11116">
        <w:rPr>
          <w:rFonts w:ascii="Times New Roman" w:hAnsi="Times New Roman" w:cs="Times New Roman"/>
        </w:rPr>
        <w:t>5</w:t>
      </w:r>
      <w:r w:rsidRPr="008C2B96">
        <w:rPr>
          <w:rFonts w:ascii="Times New Roman" w:hAnsi="Times New Roman" w:cs="Times New Roman"/>
        </w:rPr>
        <w:t xml:space="preserve"> about here]</w:t>
      </w:r>
    </w:p>
    <w:p w14:paraId="4753ED06"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To determine the suitability of the independent variables selected by the BeSiVa algorithm, the predictors were listed in the order of the number of times they were selected, and then added to models. The first model contained education, while the second contained education and party identification, following the patte</w:t>
      </w:r>
      <w:r w:rsidR="00E11116">
        <w:rPr>
          <w:rFonts w:ascii="Times New Roman" w:hAnsi="Times New Roman" w:cs="Times New Roman"/>
        </w:rPr>
        <w:t>rn of variables seen in figure 3</w:t>
      </w:r>
      <w:r w:rsidRPr="008C2B96">
        <w:rPr>
          <w:rFonts w:ascii="Times New Roman" w:hAnsi="Times New Roman" w:cs="Times New Roman"/>
        </w:rPr>
        <w:t xml:space="preserve">. Each of these models was subject to a cross-validation strategy, similar to the process of BeSiVa. A random subset of 20% of observations were kept from each model, and the model was reestimated without that data a specific number of times. Then, the held out data was predicted and compared against its measured value. This was done for models featuring each of the independent variables or variables selected by BeSiVa, and for three models based off of theory drawn from the mobilization, sociological, and psychological perspectives of turnout. </w:t>
      </w:r>
    </w:p>
    <w:p w14:paraId="79B8CE60"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Once the models were tested and compared, their average PCP were stored, and plotted as the points in figures </w:t>
      </w:r>
      <w:r w:rsidR="00FF303F">
        <w:rPr>
          <w:rFonts w:ascii="Times New Roman" w:hAnsi="Times New Roman" w:cs="Times New Roman"/>
        </w:rPr>
        <w:t>4</w:t>
      </w:r>
      <w:r w:rsidRPr="008C2B96">
        <w:rPr>
          <w:rFonts w:ascii="Times New Roman" w:hAnsi="Times New Roman" w:cs="Times New Roman"/>
        </w:rPr>
        <w:t>-</w:t>
      </w:r>
      <w:r w:rsidR="00FF303F">
        <w:rPr>
          <w:rFonts w:ascii="Times New Roman" w:hAnsi="Times New Roman" w:cs="Times New Roman"/>
        </w:rPr>
        <w:t>5</w:t>
      </w:r>
      <w:r w:rsidRPr="008C2B96">
        <w:rPr>
          <w:rFonts w:ascii="Times New Roman" w:hAnsi="Times New Roman" w:cs="Times New Roman"/>
          <w:vertAlign w:val="subscript"/>
        </w:rPr>
        <w:t>3</w:t>
      </w:r>
      <w:bookmarkStart w:id="2" w:name="sdfootnote3anc"/>
      <w:r w:rsidRPr="008C2B96">
        <w:rPr>
          <w:rFonts w:ascii="Times New Roman" w:hAnsi="Times New Roman" w:cs="Times New Roman"/>
          <w:vertAlign w:val="subscript"/>
        </w:rPr>
        <w:fldChar w:fldCharType="begin"/>
      </w:r>
      <w:r w:rsidRPr="008C2B96">
        <w:rPr>
          <w:rFonts w:ascii="Times New Roman" w:hAnsi="Times New Roman" w:cs="Times New Roman"/>
          <w:vertAlign w:val="subscript"/>
        </w:rPr>
        <w:instrText xml:space="preserve"> HYPERLINK "" \l "sdfootnote3sym" </w:instrText>
      </w:r>
      <w:r w:rsidRPr="008C2B96">
        <w:rPr>
          <w:rFonts w:ascii="Times New Roman" w:hAnsi="Times New Roman" w:cs="Times New Roman"/>
          <w:vertAlign w:val="subscript"/>
        </w:rPr>
        <w:fldChar w:fldCharType="separate"/>
      </w:r>
      <w:r w:rsidRPr="008C2B96">
        <w:rPr>
          <w:rFonts w:ascii="Times New Roman" w:hAnsi="Times New Roman" w:cs="Times New Roman"/>
          <w:color w:val="0000FF"/>
          <w:sz w:val="14"/>
          <w:szCs w:val="14"/>
          <w:u w:val="single"/>
          <w:vertAlign w:val="superscript"/>
        </w:rPr>
        <w:t>3</w:t>
      </w:r>
      <w:r w:rsidRPr="008C2B96">
        <w:rPr>
          <w:rFonts w:ascii="Times New Roman" w:hAnsi="Times New Roman" w:cs="Times New Roman"/>
          <w:vertAlign w:val="subscript"/>
        </w:rPr>
        <w:fldChar w:fldCharType="end"/>
      </w:r>
      <w:bookmarkEnd w:id="2"/>
      <w:r w:rsidRPr="008C2B96">
        <w:rPr>
          <w:rFonts w:ascii="Times New Roman" w:hAnsi="Times New Roman" w:cs="Times New Roman"/>
        </w:rPr>
        <w:t xml:space="preserve">. There are a few things to note about these figures. First, there is the relative similarity of all of the models predicted by BeSiVa. Despite adding upwards of 13 variables, the models all have a relatively similar range of PCPs. The model with the largest PCP, signified by the X, appears to decrease from 7 to 4, as seen in the figures. While this might indicate that as the number of bootstrapped runs increases, the large confidence bands suggest that the maximum PCP is barely decreasing. Despite this, a confident statement may be made about the number of variables necessary to make a good prediction based on these confidence bands, due to their increase above the prediction that would be made if the mode were chosen for all observations. </w:t>
      </w:r>
    </w:p>
    <w:p w14:paraId="41D238D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If the mode were chosen for all observations, as displayed by the blue line, the percent of correctly predicted observations would not vary. Specifically, it would fall at 0.654, the proportion of individuals who said they voted in the ANES' 2000 Survey. By picking this value for all voters, however, someone attempting to make a prediction would outperform theoretically specified approaches, such as those suggested by Teixeira and Rosenstone and Hansen, as seen in the lines near the bottom of the chart. The addition of many variables, as Teixeira (1987) felt required to do, made for poor predictions, and the model suggested by Rosenstone and Hansen's mobilization approach made a similar prediction. The Michigan school's contribution, that the strength of party identification makes an individual more likely to turn out, nearly outperforms the initial model, but is quickly outperformed by BeSiVa. With the exception of the Michigan model, the highly theoretically specified models are incapable of making better predictions than choosing the modal category for all voters. </w:t>
      </w:r>
    </w:p>
    <w:p w14:paraId="38DBE654"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Although picking the modal category for all voters outperforms two of the theoretically specified approaches, it also may outperform some of the models created by BeSiVa. Given that in figures 4-5, the mode occasionally falls within the 95% confidence intervals, the models created with variables suggested by BeSiVa may not always outperform choosing the mode in all cases. Despite this possibility, however, some of the models do outperform choosing the mode. Figures </w:t>
      </w:r>
      <w:r w:rsidR="00FF2743">
        <w:rPr>
          <w:rFonts w:ascii="Times New Roman" w:hAnsi="Times New Roman" w:cs="Times New Roman"/>
        </w:rPr>
        <w:t>4</w:t>
      </w:r>
      <w:r w:rsidRPr="008C2B96">
        <w:rPr>
          <w:rFonts w:ascii="Times New Roman" w:hAnsi="Times New Roman" w:cs="Times New Roman"/>
        </w:rPr>
        <w:t>-5 all show that after 4 variables are added, the confidence band falls above choosing the mode, which continues until ten to twelve variables are added to the model, depending on the number of times cross-validation was run. In the interest of parsimony, it may then be suggested that four variables, education, party identification, time spent in one's house, and age, theoretically specified and chosen by the algorithm, maximize prediction on the choice to vote using BeSiVa.</w:t>
      </w:r>
    </w:p>
    <w:p w14:paraId="671FE3E7"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 xml:space="preserve">A Comparison </w:t>
      </w:r>
      <w:r w:rsidR="00610788" w:rsidRPr="008C2B96">
        <w:rPr>
          <w:rFonts w:ascii="Arial" w:eastAsia="Times New Roman" w:hAnsi="Arial" w:cs="Arial"/>
          <w:b/>
          <w:bCs/>
          <w:szCs w:val="22"/>
        </w:rPr>
        <w:t>to</w:t>
      </w:r>
      <w:r w:rsidRPr="008C2B96">
        <w:rPr>
          <w:rFonts w:ascii="Arial" w:eastAsia="Times New Roman" w:hAnsi="Arial" w:cs="Arial"/>
          <w:b/>
          <w:bCs/>
          <w:szCs w:val="22"/>
        </w:rPr>
        <w:t xml:space="preserve"> the Explanatory Approach</w:t>
      </w:r>
    </w:p>
    <w:p w14:paraId="4D770862" w14:textId="1BFEEA1F"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Having demonstrated the results suggested by the algorithm, it makes sense to compare them to the approach taken by a majority of political scientists, examining statistical significance, and how the theoretically specified models differ from those the algorithm proposes. Instead of running bootstrapped regressions to compare predictions, each of the models suggested in the last step were run as separate logistic regressions, as were regressions featuring the variables recommended by Campbell et al. (1960), </w:t>
      </w:r>
      <w:r w:rsidR="00610788" w:rsidRPr="008C2B96">
        <w:rPr>
          <w:rFonts w:ascii="Times New Roman" w:hAnsi="Times New Roman" w:cs="Times New Roman"/>
        </w:rPr>
        <w:t>Teixeira</w:t>
      </w:r>
      <w:r w:rsidRPr="008C2B96">
        <w:rPr>
          <w:rFonts w:ascii="Times New Roman" w:hAnsi="Times New Roman" w:cs="Times New Roman"/>
        </w:rPr>
        <w:t xml:space="preserve"> (1987), and Rosenstone and Hansen (1993). All available data were used for these regressions, with no separation of data for testing purposes. The models resulting from each of these regressions may be seen in tables 1-3. Looking at the models' </w:t>
      </w:r>
      <w:r w:rsidR="00FD2D47">
        <w:rPr>
          <w:rFonts w:ascii="Times New Roman" w:hAnsi="Times New Roman" w:cs="Times New Roman"/>
        </w:rPr>
        <w:t>quality-of-fit statistics</w:t>
      </w:r>
      <w:r w:rsidRPr="008C2B96">
        <w:rPr>
          <w:rFonts w:ascii="Times New Roman" w:hAnsi="Times New Roman" w:cs="Times New Roman"/>
        </w:rPr>
        <w:t>, it is clear that despite the algorithm's prescription for parsimonious models, the</w:t>
      </w:r>
      <w:r w:rsidR="00057E93">
        <w:rPr>
          <w:rFonts w:ascii="Times New Roman" w:hAnsi="Times New Roman" w:cs="Times New Roman"/>
        </w:rPr>
        <w:t xml:space="preserve"> estimates of the</w:t>
      </w:r>
      <w:r w:rsidRPr="008C2B96">
        <w:rPr>
          <w:rFonts w:ascii="Times New Roman" w:hAnsi="Times New Roman" w:cs="Times New Roman"/>
        </w:rPr>
        <w:t xml:space="preserve"> </w:t>
      </w:r>
      <w:r w:rsidR="00020191">
        <w:rPr>
          <w:rFonts w:ascii="Times New Roman" w:hAnsi="Times New Roman" w:cs="Times New Roman"/>
        </w:rPr>
        <w:t xml:space="preserve">models’ </w:t>
      </w:r>
      <w:r w:rsidR="004A278C">
        <w:rPr>
          <w:rFonts w:ascii="Times New Roman" w:hAnsi="Times New Roman" w:cs="Times New Roman"/>
        </w:rPr>
        <w:t xml:space="preserve">deviance and Akaike </w:t>
      </w:r>
      <w:r w:rsidR="005A4231">
        <w:rPr>
          <w:rFonts w:ascii="Times New Roman" w:hAnsi="Times New Roman" w:cs="Times New Roman"/>
        </w:rPr>
        <w:t>I</w:t>
      </w:r>
      <w:r w:rsidR="004A278C">
        <w:rPr>
          <w:rFonts w:ascii="Times New Roman" w:hAnsi="Times New Roman" w:cs="Times New Roman"/>
        </w:rPr>
        <w:t>nformation Criterion (AIC)</w:t>
      </w:r>
      <w:r w:rsidR="00FD2D47">
        <w:rPr>
          <w:rFonts w:ascii="Times New Roman" w:hAnsi="Times New Roman" w:cs="Times New Roman"/>
        </w:rPr>
        <w:t xml:space="preserve"> </w:t>
      </w:r>
      <w:r w:rsidRPr="008C2B96">
        <w:rPr>
          <w:rFonts w:ascii="Times New Roman" w:hAnsi="Times New Roman" w:cs="Times New Roman"/>
        </w:rPr>
        <w:t>do not change in a manner that reflect the predictive capability of each of the regressions.</w:t>
      </w:r>
      <w:r w:rsidR="005A4210">
        <w:rPr>
          <w:rFonts w:ascii="Times New Roman" w:hAnsi="Times New Roman" w:cs="Times New Roman"/>
        </w:rPr>
        <w:t xml:space="preserve"> If used to estimate predictive capability, the quality-of-fit statistics</w:t>
      </w:r>
      <w:r w:rsidR="00F4064B">
        <w:rPr>
          <w:rFonts w:ascii="Times New Roman" w:hAnsi="Times New Roman" w:cs="Times New Roman"/>
        </w:rPr>
        <w:t xml:space="preserve"> suggest that the models are improving at making predictions, decreasing almost consistently </w:t>
      </w:r>
      <w:r w:rsidR="006A41CE">
        <w:rPr>
          <w:rFonts w:ascii="Times New Roman" w:hAnsi="Times New Roman" w:cs="Times New Roman"/>
        </w:rPr>
        <w:t>as variables are added. Give</w:t>
      </w:r>
      <w:r w:rsidR="009F1F22">
        <w:rPr>
          <w:rFonts w:ascii="Times New Roman" w:hAnsi="Times New Roman" w:cs="Times New Roman"/>
        </w:rPr>
        <w:t>n that these</w:t>
      </w:r>
      <w:r w:rsidR="002F374E">
        <w:rPr>
          <w:rFonts w:ascii="Times New Roman" w:hAnsi="Times New Roman" w:cs="Times New Roman"/>
        </w:rPr>
        <w:t xml:space="preserve"> </w:t>
      </w:r>
      <w:r w:rsidR="00E02C15">
        <w:rPr>
          <w:rFonts w:ascii="Times New Roman" w:hAnsi="Times New Roman" w:cs="Times New Roman"/>
        </w:rPr>
        <w:t>statistics are meant to suggest</w:t>
      </w:r>
      <w:r w:rsidR="00F4064B">
        <w:rPr>
          <w:rFonts w:ascii="Times New Roman" w:hAnsi="Times New Roman" w:cs="Times New Roman"/>
        </w:rPr>
        <w:t xml:space="preserve"> </w:t>
      </w:r>
      <w:r w:rsidR="00B869F3">
        <w:rPr>
          <w:rFonts w:ascii="Times New Roman" w:hAnsi="Times New Roman" w:cs="Times New Roman"/>
        </w:rPr>
        <w:t xml:space="preserve">the difference between the models’ </w:t>
      </w:r>
      <w:r w:rsidR="009F1F22">
        <w:rPr>
          <w:rFonts w:ascii="Times New Roman" w:hAnsi="Times New Roman" w:cs="Times New Roman"/>
        </w:rPr>
        <w:t>performance</w:t>
      </w:r>
      <w:r w:rsidR="002F374E">
        <w:rPr>
          <w:rFonts w:ascii="Times New Roman" w:hAnsi="Times New Roman" w:cs="Times New Roman"/>
        </w:rPr>
        <w:t xml:space="preserve">, </w:t>
      </w:r>
      <w:r w:rsidR="000570EC">
        <w:rPr>
          <w:rFonts w:ascii="Times New Roman" w:hAnsi="Times New Roman" w:cs="Times New Roman"/>
        </w:rPr>
        <w:t>serving</w:t>
      </w:r>
      <w:r w:rsidR="002F374E">
        <w:rPr>
          <w:rFonts w:ascii="Times New Roman" w:hAnsi="Times New Roman" w:cs="Times New Roman"/>
        </w:rPr>
        <w:t xml:space="preserve"> as </w:t>
      </w:r>
      <w:r w:rsidR="00DA61FD">
        <w:rPr>
          <w:rFonts w:ascii="Times New Roman" w:hAnsi="Times New Roman" w:cs="Times New Roman"/>
        </w:rPr>
        <w:t>measures of goodness of fit</w:t>
      </w:r>
      <w:r w:rsidR="0058783F">
        <w:rPr>
          <w:rFonts w:ascii="Times New Roman" w:hAnsi="Times New Roman" w:cs="Times New Roman"/>
        </w:rPr>
        <w:t xml:space="preserve"> (Long 1997)</w:t>
      </w:r>
      <w:r w:rsidR="008C38C1">
        <w:rPr>
          <w:rFonts w:ascii="Times New Roman" w:hAnsi="Times New Roman" w:cs="Times New Roman"/>
        </w:rPr>
        <w:t>,</w:t>
      </w:r>
      <w:r w:rsidRPr="008C2B96">
        <w:rPr>
          <w:rFonts w:ascii="Times New Roman" w:hAnsi="Times New Roman" w:cs="Times New Roman"/>
        </w:rPr>
        <w:t xml:space="preserve"> </w:t>
      </w:r>
      <w:r w:rsidR="008C38C1">
        <w:rPr>
          <w:rFonts w:ascii="Times New Roman" w:hAnsi="Times New Roman" w:cs="Times New Roman"/>
        </w:rPr>
        <w:t>t</w:t>
      </w:r>
      <w:r w:rsidRPr="008C2B96">
        <w:rPr>
          <w:rFonts w:ascii="Times New Roman" w:hAnsi="Times New Roman" w:cs="Times New Roman"/>
        </w:rPr>
        <w:t xml:space="preserve">his is especially problematic given their typical interpretation, which </w:t>
      </w:r>
      <w:r w:rsidR="00E175AB">
        <w:rPr>
          <w:rFonts w:ascii="Times New Roman" w:hAnsi="Times New Roman" w:cs="Times New Roman"/>
        </w:rPr>
        <w:t>assumes that</w:t>
      </w:r>
      <w:r w:rsidR="00C836C5">
        <w:rPr>
          <w:rFonts w:ascii="Times New Roman" w:hAnsi="Times New Roman" w:cs="Times New Roman"/>
        </w:rPr>
        <w:t xml:space="preserve"> a model’s explanatory statistics</w:t>
      </w:r>
      <w:r w:rsidR="00E175AB">
        <w:rPr>
          <w:rFonts w:ascii="Times New Roman" w:hAnsi="Times New Roman" w:cs="Times New Roman"/>
        </w:rPr>
        <w:t xml:space="preserve"> reflects </w:t>
      </w:r>
      <w:r w:rsidR="00502104">
        <w:rPr>
          <w:rFonts w:ascii="Times New Roman" w:hAnsi="Times New Roman" w:cs="Times New Roman"/>
        </w:rPr>
        <w:t>its ability to make good predictions</w:t>
      </w:r>
      <w:r w:rsidR="005B153B">
        <w:rPr>
          <w:rFonts w:ascii="Times New Roman" w:hAnsi="Times New Roman" w:cs="Times New Roman"/>
        </w:rPr>
        <w:t xml:space="preserve"> (</w:t>
      </w:r>
      <w:r w:rsidR="00CB5C1A">
        <w:rPr>
          <w:rFonts w:ascii="Times New Roman" w:hAnsi="Times New Roman" w:cs="Times New Roman"/>
        </w:rPr>
        <w:t>Shmue</w:t>
      </w:r>
      <w:r w:rsidR="005B153B">
        <w:rPr>
          <w:rFonts w:ascii="Times New Roman" w:hAnsi="Times New Roman" w:cs="Times New Roman"/>
        </w:rPr>
        <w:t>li 2010)</w:t>
      </w:r>
      <w:r w:rsidRPr="008C2B96">
        <w:rPr>
          <w:rFonts w:ascii="Times New Roman" w:hAnsi="Times New Roman" w:cs="Times New Roman"/>
        </w:rPr>
        <w:t>.</w:t>
      </w:r>
      <w:r w:rsidR="00AA4D3E">
        <w:rPr>
          <w:rFonts w:ascii="Times New Roman" w:hAnsi="Times New Roman" w:cs="Times New Roman"/>
        </w:rPr>
        <w:t xml:space="preserve"> Given the utility of the models suggested by the </w:t>
      </w:r>
      <w:r w:rsidR="00502104">
        <w:rPr>
          <w:rFonts w:ascii="Times New Roman" w:hAnsi="Times New Roman" w:cs="Times New Roman"/>
        </w:rPr>
        <w:t xml:space="preserve">algorithm, and the predictions made by the </w:t>
      </w:r>
      <w:r w:rsidR="00AC20CC">
        <w:rPr>
          <w:rFonts w:ascii="Times New Roman" w:hAnsi="Times New Roman" w:cs="Times New Roman"/>
        </w:rPr>
        <w:t xml:space="preserve">models in the bootstrapping, a model’s ability to predict and its ability to explain must be </w:t>
      </w:r>
      <w:r w:rsidR="0026194C">
        <w:rPr>
          <w:rFonts w:ascii="Times New Roman" w:hAnsi="Times New Roman" w:cs="Times New Roman"/>
        </w:rPr>
        <w:t>differentiated</w:t>
      </w:r>
      <w:r w:rsidR="00F61D80">
        <w:rPr>
          <w:rFonts w:ascii="Times New Roman" w:hAnsi="Times New Roman" w:cs="Times New Roman"/>
        </w:rPr>
        <w:t>.</w:t>
      </w:r>
    </w:p>
    <w:p w14:paraId="6A896DEB" w14:textId="012528F8"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Tables 1 and 2 feature a set of regressions based on variables suggested by the algorithm, similar to the bootstrapping process that was featured in for determining model quality. In this case, the variables that the algorithm suggested were added, one at a time, to the models. Now, if the 100 run bootstrap is considered, then the model with seven variables is the first to outperform choosing the mode for all voters. If the 1000 iteration bootstrapping process is considered, then the four variable model features the only four variables necessary to create the best prediction of the choice to vote. This would be difficult to determine from looking at the </w:t>
      </w:r>
      <w:r w:rsidR="00497D32">
        <w:rPr>
          <w:rFonts w:ascii="Times New Roman" w:hAnsi="Times New Roman" w:cs="Times New Roman"/>
        </w:rPr>
        <w:t>quality-of-fit</w:t>
      </w:r>
      <w:r w:rsidRPr="008C2B96">
        <w:rPr>
          <w:rFonts w:ascii="Times New Roman" w:hAnsi="Times New Roman" w:cs="Times New Roman"/>
        </w:rPr>
        <w:t xml:space="preserve"> statistics, however. These model </w:t>
      </w:r>
      <w:r w:rsidR="00AD1FBB">
        <w:rPr>
          <w:rFonts w:ascii="Times New Roman" w:hAnsi="Times New Roman" w:cs="Times New Roman"/>
        </w:rPr>
        <w:t xml:space="preserve">quality estimates </w:t>
      </w:r>
      <w:r w:rsidRPr="008C2B96">
        <w:rPr>
          <w:rFonts w:ascii="Times New Roman" w:hAnsi="Times New Roman" w:cs="Times New Roman"/>
        </w:rPr>
        <w:t xml:space="preserve">are supposed </w:t>
      </w:r>
      <w:r w:rsidR="00DC5361">
        <w:rPr>
          <w:rFonts w:ascii="Times New Roman" w:hAnsi="Times New Roman" w:cs="Times New Roman"/>
        </w:rPr>
        <w:t>measure</w:t>
      </w:r>
      <w:r w:rsidRPr="008C2B96">
        <w:rPr>
          <w:rFonts w:ascii="Times New Roman" w:hAnsi="Times New Roman" w:cs="Times New Roman"/>
        </w:rPr>
        <w:t xml:space="preserve"> how well the model </w:t>
      </w:r>
      <w:r w:rsidR="00E562DC">
        <w:rPr>
          <w:rFonts w:ascii="Times New Roman" w:hAnsi="Times New Roman" w:cs="Times New Roman"/>
        </w:rPr>
        <w:t>explains the provided data</w:t>
      </w:r>
      <w:r w:rsidRPr="008C2B96">
        <w:rPr>
          <w:rFonts w:ascii="Times New Roman" w:hAnsi="Times New Roman" w:cs="Times New Roman"/>
        </w:rPr>
        <w:t>, or in the case of the AIC</w:t>
      </w:r>
      <w:r w:rsidR="00F91715">
        <w:rPr>
          <w:rFonts w:ascii="Times New Roman" w:hAnsi="Times New Roman" w:cs="Times New Roman"/>
        </w:rPr>
        <w:t>, which concentrates</w:t>
      </w:r>
      <w:r w:rsidR="007F02FA">
        <w:rPr>
          <w:rFonts w:ascii="Times New Roman" w:hAnsi="Times New Roman" w:cs="Times New Roman"/>
        </w:rPr>
        <w:t xml:space="preserve"> on</w:t>
      </w:r>
      <w:r w:rsidR="00B0496E">
        <w:rPr>
          <w:rFonts w:ascii="Times New Roman" w:hAnsi="Times New Roman" w:cs="Times New Roman"/>
        </w:rPr>
        <w:t xml:space="preserve"> prediction, attempting to measure how well the model separates t</w:t>
      </w:r>
      <w:r w:rsidR="00F91715">
        <w:rPr>
          <w:rFonts w:ascii="Times New Roman" w:hAnsi="Times New Roman" w:cs="Times New Roman"/>
        </w:rPr>
        <w:t>he predictive trend from the noise in the data (</w:t>
      </w:r>
      <w:r w:rsidR="00B0496E" w:rsidRPr="008C2B96">
        <w:rPr>
          <w:rFonts w:ascii="Times New Roman" w:hAnsi="Times New Roman" w:cs="Times New Roman"/>
        </w:rPr>
        <w:t>Forster and Sober 1994, Forster 2002</w:t>
      </w:r>
      <w:r w:rsidR="00F91715">
        <w:rPr>
          <w:rFonts w:ascii="Times New Roman" w:hAnsi="Times New Roman" w:cs="Times New Roman"/>
        </w:rPr>
        <w:t>)</w:t>
      </w:r>
      <w:r w:rsidRPr="008C2B96">
        <w:rPr>
          <w:rFonts w:ascii="Times New Roman" w:hAnsi="Times New Roman" w:cs="Times New Roman"/>
        </w:rPr>
        <w:t xml:space="preserve">, predicting </w:t>
      </w:r>
      <w:r w:rsidR="00C429EB">
        <w:rPr>
          <w:rFonts w:ascii="Times New Roman" w:hAnsi="Times New Roman" w:cs="Times New Roman"/>
        </w:rPr>
        <w:t>new</w:t>
      </w:r>
      <w:r w:rsidR="00880DEA">
        <w:rPr>
          <w:rFonts w:ascii="Times New Roman" w:hAnsi="Times New Roman" w:cs="Times New Roman"/>
        </w:rPr>
        <w:t xml:space="preserve"> data. Their performance, however, </w:t>
      </w:r>
      <w:r w:rsidRPr="008C2B96">
        <w:rPr>
          <w:rFonts w:ascii="Times New Roman" w:hAnsi="Times New Roman" w:cs="Times New Roman"/>
        </w:rPr>
        <w:t>indicates the need for a prediction as a</w:t>
      </w:r>
      <w:r w:rsidR="008C5456">
        <w:rPr>
          <w:rFonts w:ascii="Times New Roman" w:hAnsi="Times New Roman" w:cs="Times New Roman"/>
        </w:rPr>
        <w:t xml:space="preserve"> separate</w:t>
      </w:r>
      <w:r w:rsidRPr="008C2B96">
        <w:rPr>
          <w:rFonts w:ascii="Times New Roman" w:hAnsi="Times New Roman" w:cs="Times New Roman"/>
        </w:rPr>
        <w:t xml:space="preserve"> criterion based on their values</w:t>
      </w:r>
      <w:r w:rsidR="001026D9">
        <w:rPr>
          <w:rFonts w:ascii="Times New Roman" w:hAnsi="Times New Roman" w:cs="Times New Roman"/>
        </w:rPr>
        <w:t>, and how they improve</w:t>
      </w:r>
      <w:r w:rsidR="00D3214C">
        <w:rPr>
          <w:rFonts w:ascii="Times New Roman" w:hAnsi="Times New Roman" w:cs="Times New Roman"/>
        </w:rPr>
        <w:t xml:space="preserve"> given </w:t>
      </w:r>
      <w:r w:rsidR="00DE337C">
        <w:rPr>
          <w:rFonts w:ascii="Times New Roman" w:hAnsi="Times New Roman" w:cs="Times New Roman"/>
        </w:rPr>
        <w:t>additional independent variable</w:t>
      </w:r>
      <w:r w:rsidRPr="008C2B96">
        <w:rPr>
          <w:rFonts w:ascii="Times New Roman" w:hAnsi="Times New Roman" w:cs="Times New Roman"/>
        </w:rPr>
        <w:t>.</w:t>
      </w:r>
    </w:p>
    <w:p w14:paraId="354AB3CD" w14:textId="55FB7098"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considering the </w:t>
      </w:r>
      <w:r w:rsidR="00320B61">
        <w:rPr>
          <w:rFonts w:ascii="Times New Roman" w:hAnsi="Times New Roman" w:cs="Times New Roman"/>
        </w:rPr>
        <w:t>quality-of-fit</w:t>
      </w:r>
      <w:r w:rsidRPr="008C2B96">
        <w:rPr>
          <w:rFonts w:ascii="Times New Roman" w:hAnsi="Times New Roman" w:cs="Times New Roman"/>
        </w:rPr>
        <w:t xml:space="preserve"> statistics of each of the models, it would be difficult to determine that the best prediction, on average, is made by a model with four or seven independent variables. Despite the fourth model's status as the most predictive model in the 1000 iteration bootstrap, the deviance of each model continues to decrease, even after variables are added that do not improve the models' predictive capability. Deviance, a comparison between a perfect prediction of the results and the model created and displayed, is meant to compare between models, determining which ones are best at fitting the data (Long 1997). In this case, however, models with variables that lead to demonstrably poorer predictions still have lower deviance, sometimes much lower, suggesting the difficulty in using deviance to determine which model makes the best predictions. </w:t>
      </w:r>
    </w:p>
    <w:p w14:paraId="0DE09ABD"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Despite the fact that some models suggested by the algorithm are less capable of making predictions than others, the deviance decreases as variables are added, even if the variables' inclusion lead to poorer predictions. The deviance also leads to presumptions of better predictions among some theoretically specified models, as seen in table 3. This is especially true among the models suggested by Teixeira, as well as Rosenstone and Hansen. These two models models perform far worse at making predictions in the bootstrap than the models suggested by the algorithm. The deviance, however, suggests that their performance as models would be preferable to the models the algorithm recommends, and the deviance suggests that they are both far superior to Campbell et al.'s model. This was empirically refuted via the bootstrap, however, which suggested that among theoretically specified models, the Michigan school's made the best predictions, as seen in figure 3. The deviance may be useful from an explanatory standpoint, but it misleads a researcher who seeks to use a model for making predictions.</w:t>
      </w:r>
    </w:p>
    <w:p w14:paraId="7C9D0146" w14:textId="44DD6F86" w:rsidR="008C2B96" w:rsidRPr="008C2B96" w:rsidRDefault="008C2B96" w:rsidP="008C2B96">
      <w:pPr>
        <w:spacing w:before="100" w:beforeAutospacing="1" w:after="115" w:line="480" w:lineRule="auto"/>
        <w:rPr>
          <w:rFonts w:ascii="Times New Roman" w:hAnsi="Times New Roman" w:cs="Times New Roman"/>
        </w:rPr>
      </w:pPr>
      <w:bookmarkStart w:id="3" w:name="firstHeading"/>
      <w:bookmarkEnd w:id="3"/>
      <w:r w:rsidRPr="008C2B96">
        <w:rPr>
          <w:rFonts w:ascii="Times New Roman" w:hAnsi="Times New Roman" w:cs="Times New Roman"/>
        </w:rPr>
        <w:t xml:space="preserve">In considering the models' summary statistics, deviance is problematic for determining whether a model makes better or worse predictions. The deviance is likely overfitting due to its purpose, comparing the relationship between the model at hand to a model that is capable of perfectly predicting the data. But, the </w:t>
      </w:r>
      <w:r w:rsidRPr="008C2B96">
        <w:rPr>
          <w:rFonts w:ascii="Times New Roman" w:hAnsi="Times New Roman" w:cs="Times New Roman"/>
          <w:lang w:val="en"/>
        </w:rPr>
        <w:t>Akaike</w:t>
      </w:r>
      <w:r w:rsidRPr="008C2B96">
        <w:rPr>
          <w:rFonts w:ascii="Times New Roman" w:hAnsi="Times New Roman" w:cs="Times New Roman"/>
        </w:rPr>
        <w:t xml:space="preserve"> </w:t>
      </w:r>
      <w:r w:rsidR="008E2FF5">
        <w:rPr>
          <w:rFonts w:ascii="Times New Roman" w:hAnsi="Times New Roman" w:cs="Times New Roman"/>
        </w:rPr>
        <w:t>Information C</w:t>
      </w:r>
      <w:r w:rsidRPr="008C2B96">
        <w:rPr>
          <w:rFonts w:ascii="Times New Roman" w:hAnsi="Times New Roman" w:cs="Times New Roman"/>
        </w:rPr>
        <w:t xml:space="preserve">riterion (AIC) is meant to be a measure of the performance of the model at predicting data that was not included (Forster and Sober 1994, Forster 2002), and its use as an information criterion has been suggested in contrast to using a test set for </w:t>
      </w:r>
      <w:r w:rsidR="00610788" w:rsidRPr="008C2B96">
        <w:rPr>
          <w:rFonts w:ascii="Times New Roman" w:hAnsi="Times New Roman" w:cs="Times New Roman"/>
        </w:rPr>
        <w:t>forecasting</w:t>
      </w:r>
      <w:r w:rsidRPr="008C2B96">
        <w:rPr>
          <w:rFonts w:ascii="Times New Roman" w:hAnsi="Times New Roman" w:cs="Times New Roman"/>
        </w:rPr>
        <w:t xml:space="preserve"> (Clark 2004). Despite this formulation, however, the AIC experiences a problem similar to the deviance, </w:t>
      </w:r>
      <w:r w:rsidR="00610788" w:rsidRPr="008C2B96">
        <w:rPr>
          <w:rFonts w:ascii="Times New Roman" w:hAnsi="Times New Roman" w:cs="Times New Roman"/>
        </w:rPr>
        <w:t>suggesting</w:t>
      </w:r>
      <w:r w:rsidRPr="008C2B96">
        <w:rPr>
          <w:rFonts w:ascii="Times New Roman" w:hAnsi="Times New Roman" w:cs="Times New Roman"/>
        </w:rPr>
        <w:t xml:space="preserve"> that it is vulnerable to overfitting. In tables 1 and 2, the AIC continues to decrease, suggesting that the predictions that each model makes are improving, and the AIC decreases dramatically when contact by a party is added to the model. The reverse is true; adding many of these variables leads to poorer predictions, suggesting that similar to the deviance, the AIC </w:t>
      </w:r>
      <w:r w:rsidR="00610788" w:rsidRPr="008C2B96">
        <w:rPr>
          <w:rFonts w:ascii="Times New Roman" w:hAnsi="Times New Roman" w:cs="Times New Roman"/>
        </w:rPr>
        <w:t>cannot</w:t>
      </w:r>
      <w:r w:rsidRPr="008C2B96">
        <w:rPr>
          <w:rFonts w:ascii="Times New Roman" w:hAnsi="Times New Roman" w:cs="Times New Roman"/>
        </w:rPr>
        <w:t xml:space="preserve"> determine a model's predictive capability. </w:t>
      </w:r>
    </w:p>
    <w:p w14:paraId="2E46D89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When comparing the models suggested by the algorithm, the AIC's value drops when almost every variable is added, despite the fact that adding more variables to models made their predictions worse, as demonstrated by the bootstrapping. The AIC continues to decrease in value among the models built from theoretically specified variables, with the exception of the Michigan school's proposed model. Notably, the lowest value for the AIC is held by the model with variables suggested by Teixeira, which had a lower predictive accuracy than any of those suggested by the algorithm, and it is comparable to a model containing the variables recommended by Rosenstone and Hansen. By comparison, the Michigan school had a predictive capability that competed with the algorithm, but its AIC was very high, suggesting that the model would do badly if used to predict other observations. Empirically, the reverse is true, with the Michigan school doing a better job of making predictions than the other two models in table 3.</w:t>
      </w:r>
    </w:p>
    <w:p w14:paraId="6EF0AE03"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Up to this point, the most commonly used method for interpreting results, statistical significance, has remained unconsidered. Although many of the models that seem most appropriate for predictive purposes have significant variables, not all of the variables recommended by the algorithm for making predictions are statistically significant. The first four most commonly selected variables all are statistically significant, suggesting an accord between the algorithm, bootstrapping, and significance testing. The remainder of the models, however, display scattered statistical significance, some with p-values well under the usual threshold of 0.05, despite the fact that no model performs better than the one created by the first four variables recommended by the algorithm, according to the 1000 run bootstrap or seven variables according to the 100 run bootstrap. Regardless of which model is capable of making the best predictions, the scattershot nature of statistical significance makes it difficult to determine which variables are truly useful in predicting turnout. </w:t>
      </w:r>
    </w:p>
    <w:p w14:paraId="2250A506" w14:textId="7006CBA6"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Judging from the confidence intervals on the PCPs, it is difficult to see whether the seventh or the fourth model is more capable of making predictions, but what is found to be significant is counterproductive if prediction is important. Similarly, the role of the squared term in age is debatable; in the 100 run bootstrap, it appears to lead to a maximizing of prediction, but the small coefficient size and varying significance make it difficult to determine whether it should be included. An individual's minority status does appear to affect turnout, and it is significant until party contact is added, but this suggests that contact is in some way superseding an individual's racial identity. This is especially troubling, due to the fact that based on both bootstrapping tests, party contact's inclusion leads to worse predictions. Similarly, gender is never found to be statistically significant, despite improving models' predictive power and being a necessary predictor for the best model according to the 100 run bootstrap.</w:t>
      </w:r>
      <w:r w:rsidR="00FF66DF">
        <w:rPr>
          <w:rFonts w:ascii="Times New Roman" w:hAnsi="Times New Roman" w:cs="Times New Roman"/>
        </w:rPr>
        <w:t xml:space="preserve"> </w:t>
      </w:r>
      <w:r w:rsidR="000B3139">
        <w:rPr>
          <w:rFonts w:ascii="Times New Roman" w:hAnsi="Times New Roman" w:cs="Times New Roman"/>
        </w:rPr>
        <w:t>I</w:t>
      </w:r>
      <w:r w:rsidR="00FF66DF">
        <w:rPr>
          <w:rFonts w:ascii="Times New Roman" w:hAnsi="Times New Roman" w:cs="Times New Roman"/>
        </w:rPr>
        <w:t xml:space="preserve">t may be that the 100 run bootstrap is doing a poorer job of </w:t>
      </w:r>
      <w:r w:rsidR="000B3139">
        <w:rPr>
          <w:rFonts w:ascii="Times New Roman" w:hAnsi="Times New Roman" w:cs="Times New Roman"/>
        </w:rPr>
        <w:t xml:space="preserve">determining which model is most capable of </w:t>
      </w:r>
      <w:r w:rsidR="00DD0551">
        <w:rPr>
          <w:rFonts w:ascii="Times New Roman" w:hAnsi="Times New Roman" w:cs="Times New Roman"/>
        </w:rPr>
        <w:t>predicting turnout, but</w:t>
      </w:r>
      <w:r w:rsidRPr="008C2B96">
        <w:rPr>
          <w:rFonts w:ascii="Times New Roman" w:hAnsi="Times New Roman" w:cs="Times New Roman"/>
        </w:rPr>
        <w:t xml:space="preserve"> </w:t>
      </w:r>
      <w:r w:rsidR="00DD0551">
        <w:rPr>
          <w:rFonts w:ascii="Times New Roman" w:hAnsi="Times New Roman" w:cs="Times New Roman"/>
        </w:rPr>
        <w:t>s</w:t>
      </w:r>
      <w:r w:rsidRPr="008C2B96">
        <w:rPr>
          <w:rFonts w:ascii="Times New Roman" w:hAnsi="Times New Roman" w:cs="Times New Roman"/>
        </w:rPr>
        <w:t xml:space="preserve">tatistical significance </w:t>
      </w:r>
      <w:r w:rsidR="00821DE2">
        <w:rPr>
          <w:rFonts w:ascii="Times New Roman" w:hAnsi="Times New Roman" w:cs="Times New Roman"/>
        </w:rPr>
        <w:t>decisively</w:t>
      </w:r>
      <w:r w:rsidRPr="008C2B96">
        <w:rPr>
          <w:rFonts w:ascii="Times New Roman" w:hAnsi="Times New Roman" w:cs="Times New Roman"/>
        </w:rPr>
        <w:t xml:space="preserve"> misleads the researcher, overstating the importance of predictors like party contact and church attendance</w:t>
      </w:r>
      <w:r w:rsidR="00627CD6">
        <w:rPr>
          <w:rFonts w:ascii="Times New Roman" w:hAnsi="Times New Roman" w:cs="Times New Roman"/>
        </w:rPr>
        <w:t>.</w:t>
      </w:r>
      <w:bookmarkStart w:id="4" w:name="_GoBack"/>
      <w:bookmarkEnd w:id="4"/>
      <w:r w:rsidR="009F4F09">
        <w:rPr>
          <w:rFonts w:ascii="Times New Roman" w:hAnsi="Times New Roman" w:cs="Times New Roman"/>
        </w:rPr>
        <w:t xml:space="preserve"> </w:t>
      </w:r>
      <w:r w:rsidRPr="008C2B96">
        <w:rPr>
          <w:rFonts w:ascii="Times New Roman" w:hAnsi="Times New Roman" w:cs="Times New Roman"/>
        </w:rPr>
        <w:t xml:space="preserve">The use of statistical significance may inform the researcher if a non-zero relationship exists, but the idea that p-values inform the utility, substantive significance, or relevance of a particular independent variable on predicting the dependent variable is hopefully abated. </w:t>
      </w:r>
    </w:p>
    <w:p w14:paraId="0AD79B71" w14:textId="77777777" w:rsidR="008C2B96" w:rsidRPr="008C2B96" w:rsidRDefault="008C2B96" w:rsidP="008C2B96">
      <w:pPr>
        <w:spacing w:before="100" w:beforeAutospacing="1" w:after="240" w:line="480" w:lineRule="auto"/>
        <w:rPr>
          <w:rFonts w:ascii="Times New Roman" w:hAnsi="Times New Roman" w:cs="Times New Roman"/>
        </w:rPr>
      </w:pPr>
    </w:p>
    <w:p w14:paraId="0C7303BD" w14:textId="77777777" w:rsidR="008C2B96" w:rsidRPr="008C2B96" w:rsidRDefault="008C2B96" w:rsidP="008C2B96">
      <w:pPr>
        <w:spacing w:before="100" w:beforeAutospacing="1" w:after="115" w:line="480" w:lineRule="auto"/>
        <w:outlineLvl w:val="4"/>
        <w:rPr>
          <w:rFonts w:ascii="Arial" w:eastAsia="Times New Roman" w:hAnsi="Arial" w:cs="Arial"/>
          <w:b/>
          <w:bCs/>
          <w:szCs w:val="22"/>
        </w:rPr>
      </w:pPr>
      <w:r w:rsidRPr="008C2B96">
        <w:rPr>
          <w:rFonts w:ascii="Arial" w:eastAsia="Times New Roman" w:hAnsi="Arial" w:cs="Arial"/>
          <w:b/>
          <w:bCs/>
          <w:szCs w:val="22"/>
        </w:rPr>
        <w:t>Conclusion:</w:t>
      </w:r>
    </w:p>
    <w:p w14:paraId="33631A4A"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This study represented an attempt to demonstrate the utility of the predictive approach when employed with a deductive research design. This demonstration involved collecting a series of theoretically relevant variables, and providing them to the BeSiVa algorithm. Once the variables were provided, the algorithm used its predictive criterion to determine which variables were necessary to create the most predictive model. From there, the variables it recommended were added to a model, one at a time, which was tested separately using a bootstrapping approach. In addition to the algorithm's variables, models were created from three different perspectives of the choice to vote, and they were compared to the algorithm's recommended variables, via bootstrapping and the more conventional regression tables. Based on the algorithm and the bootstrap, four variables appear to create the most predictive model: Education, the strength of party ID, how long someone lives in a single house, and age. </w:t>
      </w:r>
    </w:p>
    <w:p w14:paraId="7BF45E4C"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In addition to the comparison of different theories behind voter turnout, using the algorithm enables a consideration of several methodological critiques of the discipline. The idea that a well specified model contains only three independent variables (Achen 2002) may be accurate, but additional independent variables may add to the model's utility from a predictive standpoint. Whether such an addition is warranted requires testing the models using the algorithm and bootstrapping techniques, but through these techniques, it is possible to determine how preferable parsimony really is. If it is possible to include fewer variables while maximizing prediction accuracy, then parsimony is a useful goal. If the inclusion of a smaller number of variables fails to create a more predictive model, then parsimony is less desirable. </w:t>
      </w:r>
    </w:p>
    <w:p w14:paraId="68D28C82"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BeSiVa algorithm and the bootstrapping used to consider the variables it selected systemically demonstrated that in the case of the choice to vote, a model with more than three independent variables may provide additional benefits from a predictive standpoint. But the bootstrapping, which demonstrated how BeSiVa's selections could be used to create predictive models, issue a potential response to a second charge Achen levies. Achen suggests that methods such as logistic regression are overused, and not the most appropriate way to model data. Through predictive criteria such as the PCP, the determination not only of the most appropriate variables, but also the method's appropriateness used may be considered from a more objective standpoint. </w:t>
      </w:r>
    </w:p>
    <w:p w14:paraId="70653DA7"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While it may be beneficial to consider the use of alternatives to logistic regression, prediction lets researchers determine the necessity of finding an alternative. If logistic regression leads to good predictions on data that has been kept away from the regression for testing purposes, then a hunt for a better estimator than the logistic estimator is not essential. If logistic regression does not make good predictions, however, then the methods used to create the model must be reconsidered. Through the BeSiVa algorithm and bootstrapping, however, such a necessity may be determined. This can be done by comparing the predictions against 1/C, where C is the number of categories that can be predicted, as described by Kuhn and Johnson (2013), or by comparing the predictions against the prediction from choosing the mode for all observations. The fact that by a predictive criterion, such a comparison is possible with logistic regression shows that the estimator has utility beyond what its critics suggest. </w:t>
      </w:r>
    </w:p>
    <w:p w14:paraId="76FB151E"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rPr>
        <w:t xml:space="preserve">The predictive criterion may be used to make the most capable model, using a prespecified technique and variables that are chosen for their theoretical capability. Using such a criterion may even concur with ironclad theoretical findings. But the power of an approach that explicitly considers the ability of a variable, model, or theory to make predictions arises from the possibility that a well specified theoretical model, or a variable whose relevance seemed unimpeachable may not be capable of aiding in actual prediction. This was demonstrated by comparing theoretically specified models and their ability to predict whether an individual turned out to vote, to the models created by the BeSiVa algorithm, and finding the theoretical models wanting. This criterion allows for the consideration of models, and also how well those models make predictions, making it possible to determine whether theories, either through groupings of variables or the overall selection of what to give to the algorithm, leads to a good prediction. </w:t>
      </w:r>
    </w:p>
    <w:p w14:paraId="19661E01" w14:textId="77777777" w:rsidR="008C2B96" w:rsidRPr="008C2B96" w:rsidRDefault="008C2B96" w:rsidP="008C2B96">
      <w:pPr>
        <w:spacing w:before="100" w:beforeAutospacing="1" w:after="240" w:line="480" w:lineRule="auto"/>
        <w:rPr>
          <w:rFonts w:ascii="Times New Roman" w:hAnsi="Times New Roman" w:cs="Times New Roman"/>
        </w:rPr>
      </w:pPr>
    </w:p>
    <w:bookmarkStart w:id="5" w:name="sdfootnote1sym"/>
    <w:p w14:paraId="7D99DACF"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"sdfootnote1anc"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1</w:t>
      </w:r>
      <w:r w:rsidRPr="008C2B96">
        <w:rPr>
          <w:rFonts w:ascii="Times New Roman" w:hAnsi="Times New Roman" w:cs="Times New Roman"/>
          <w:sz w:val="20"/>
          <w:szCs w:val="20"/>
        </w:rPr>
        <w:fldChar w:fldCharType="end"/>
      </w:r>
      <w:bookmarkEnd w:id="5"/>
      <w:r w:rsidRPr="008C2B96">
        <w:rPr>
          <w:rFonts w:ascii="Times New Roman" w:hAnsi="Times New Roman" w:cs="Times New Roman"/>
          <w:sz w:val="20"/>
          <w:szCs w:val="20"/>
        </w:rPr>
        <w:t xml:space="preserve">. While the histogram bore marked similarities to a normal distribution, the bounded nature of the data makes the conventional means of plotting confidence intervals problematic, due to the central limit theorem's lack of applicability to bounded distributions. </w:t>
      </w:r>
    </w:p>
    <w:bookmarkStart w:id="6" w:name="sdfootnote2sym"/>
    <w:p w14:paraId="126C3E39"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"sdfootnote2anc"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2</w:t>
      </w:r>
      <w:r w:rsidRPr="008C2B96">
        <w:rPr>
          <w:rFonts w:ascii="Times New Roman" w:hAnsi="Times New Roman" w:cs="Times New Roman"/>
          <w:sz w:val="20"/>
          <w:szCs w:val="20"/>
        </w:rPr>
        <w:fldChar w:fldCharType="end"/>
      </w:r>
      <w:bookmarkEnd w:id="6"/>
      <w:r w:rsidRPr="008C2B96">
        <w:rPr>
          <w:rFonts w:ascii="Times New Roman" w:hAnsi="Times New Roman" w:cs="Times New Roman"/>
          <w:sz w:val="20"/>
          <w:szCs w:val="20"/>
        </w:rPr>
        <w:t>. While such a conclusion validates a hypothesis mentioned by Teixeira (1987), the variable meant to operationalize mobility in this case may also captures more about the individual than anticipated. Given the lack of class-based variables in the algorithm's selections, despite the inclusion of income in the list of potential independent variables, the length of time a person spends in a single house may be capturing elements of economic class and age. Given its number of selections, time spent in the same house may also be capturing elements of these two independent variables, among others, better than the variables meant to operationalize them</w:t>
      </w:r>
      <w:r w:rsidRPr="008C2B96">
        <w:rPr>
          <w:rFonts w:ascii="Times New Roman" w:hAnsi="Times New Roman" w:cs="Times New Roman"/>
          <w:sz w:val="20"/>
          <w:szCs w:val="20"/>
          <w:vertAlign w:val="subscript"/>
        </w:rPr>
        <w:t xml:space="preserve"> </w:t>
      </w:r>
      <w:r w:rsidRPr="008C2B96">
        <w:rPr>
          <w:rFonts w:ascii="Times New Roman" w:hAnsi="Times New Roman" w:cs="Times New Roman"/>
          <w:sz w:val="20"/>
          <w:szCs w:val="20"/>
        </w:rPr>
        <w:t xml:space="preserve">it may be that hypotheses about time spent in a location are underrated, it may also be that this variable is highly correlated with other theoretically relevant predictors. The correlations between the amount of time living in one's house and age is slight, it is significant, as signified by their 0.18 </w:t>
      </w:r>
      <w:r w:rsidR="00BD490F">
        <w:rPr>
          <w:rFonts w:ascii="Times New Roman" w:hAnsi="Times New Roman" w:cs="Times New Roman"/>
          <w:sz w:val="20"/>
          <w:szCs w:val="20"/>
        </w:rPr>
        <w:t>P</w:t>
      </w:r>
      <w:r w:rsidRPr="008C2B96">
        <w:rPr>
          <w:rFonts w:ascii="Times New Roman" w:hAnsi="Times New Roman" w:cs="Times New Roman"/>
          <w:sz w:val="20"/>
          <w:szCs w:val="20"/>
        </w:rPr>
        <w:t>earson's R, which was also the case between time spent in a house and income for a value of 0.14. The correlations between these predictors make sense; a stable place to live, while not necessary, assists with the stability needed to attain a substantial income, and time spent in house necessarily correlates with age. The older an individual is, the longer they can spend living in one place, making age necessary, if not sufficient, to stay in one place for some time. The correlation of these two predictors with the amount of time spent in one's house suggests that it is picking up more information than the question's formulation might expect.</w:t>
      </w:r>
    </w:p>
    <w:bookmarkStart w:id="7" w:name="sdfootnote3sym"/>
    <w:p w14:paraId="5D9BD078" w14:textId="77777777" w:rsidR="008C2B96" w:rsidRPr="008C2B96" w:rsidRDefault="008C2B96" w:rsidP="008C2B96">
      <w:pPr>
        <w:spacing w:before="100" w:beforeAutospacing="1" w:after="115" w:line="480" w:lineRule="auto"/>
        <w:rPr>
          <w:rFonts w:ascii="Times New Roman" w:hAnsi="Times New Roman" w:cs="Times New Roman"/>
        </w:rPr>
      </w:pPr>
      <w:r w:rsidRPr="008C2B96">
        <w:rPr>
          <w:rFonts w:ascii="Times New Roman" w:hAnsi="Times New Roman" w:cs="Times New Roman"/>
          <w:sz w:val="20"/>
          <w:szCs w:val="20"/>
        </w:rPr>
        <w:fldChar w:fldCharType="begin"/>
      </w:r>
      <w:r w:rsidRPr="008C2B96">
        <w:rPr>
          <w:rFonts w:ascii="Times New Roman" w:hAnsi="Times New Roman" w:cs="Times New Roman"/>
          <w:sz w:val="20"/>
          <w:szCs w:val="20"/>
        </w:rPr>
        <w:instrText xml:space="preserve"> HYPERLINK "" \l "sdfootnote3anc" </w:instrText>
      </w:r>
      <w:r w:rsidRPr="008C2B96">
        <w:rPr>
          <w:rFonts w:ascii="Times New Roman" w:hAnsi="Times New Roman" w:cs="Times New Roman"/>
          <w:sz w:val="20"/>
          <w:szCs w:val="20"/>
        </w:rPr>
        <w:fldChar w:fldCharType="separate"/>
      </w:r>
      <w:r w:rsidRPr="008C2B96">
        <w:rPr>
          <w:rFonts w:ascii="Times New Roman" w:hAnsi="Times New Roman" w:cs="Times New Roman"/>
          <w:color w:val="0000FF"/>
          <w:sz w:val="20"/>
          <w:szCs w:val="20"/>
          <w:u w:val="single"/>
        </w:rPr>
        <w:t>3</w:t>
      </w:r>
      <w:r w:rsidRPr="008C2B96">
        <w:rPr>
          <w:rFonts w:ascii="Times New Roman" w:hAnsi="Times New Roman" w:cs="Times New Roman"/>
          <w:sz w:val="20"/>
          <w:szCs w:val="20"/>
        </w:rPr>
        <w:fldChar w:fldCharType="end"/>
      </w:r>
      <w:bookmarkEnd w:id="7"/>
      <w:r w:rsidRPr="008C2B96">
        <w:rPr>
          <w:rFonts w:ascii="Times New Roman" w:hAnsi="Times New Roman" w:cs="Times New Roman"/>
          <w:sz w:val="20"/>
          <w:szCs w:val="20"/>
        </w:rPr>
        <w:t xml:space="preserve">. In addition to determining the average, however, the confidence bands were desired, despite the difficulty of getting a confidence band for a bounded value like the PCP, which ranges between zero and </w:t>
      </w:r>
      <w:r w:rsidR="00610788" w:rsidRPr="008C2B96">
        <w:rPr>
          <w:rFonts w:ascii="Times New Roman" w:hAnsi="Times New Roman" w:cs="Times New Roman"/>
          <w:sz w:val="20"/>
          <w:szCs w:val="20"/>
        </w:rPr>
        <w:t>one.</w:t>
      </w:r>
      <w:r w:rsidRPr="008C2B96">
        <w:rPr>
          <w:rFonts w:ascii="Times New Roman" w:hAnsi="Times New Roman" w:cs="Times New Roman"/>
          <w:sz w:val="20"/>
          <w:szCs w:val="20"/>
        </w:rPr>
        <w:t xml:space="preserve"> For this reason, the confidence bands were determined through bootstrapping; the 2.5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and 97.5</w:t>
      </w:r>
      <w:r w:rsidRPr="008C2B96">
        <w:rPr>
          <w:rFonts w:ascii="Times New Roman" w:hAnsi="Times New Roman" w:cs="Times New Roman"/>
          <w:sz w:val="20"/>
          <w:szCs w:val="20"/>
          <w:vertAlign w:val="superscript"/>
        </w:rPr>
        <w:t>th</w:t>
      </w:r>
      <w:r w:rsidRPr="008C2B96">
        <w:rPr>
          <w:rFonts w:ascii="Times New Roman" w:hAnsi="Times New Roman" w:cs="Times New Roman"/>
          <w:sz w:val="20"/>
          <w:szCs w:val="20"/>
        </w:rPr>
        <w:t xml:space="preserve"> percentiles of the PCPs captured by the cross-validation were measured, creating a bootstrapped 95% confidence band akin to those created for continuous variables</w:t>
      </w:r>
    </w:p>
    <w:p w14:paraId="3D997B89" w14:textId="77777777" w:rsidR="00A0298C" w:rsidRDefault="00A0298C" w:rsidP="00A0298C">
      <w:pPr>
        <w:pStyle w:val="BodyText"/>
        <w:spacing w:line="480" w:lineRule="auto"/>
      </w:pPr>
      <w:r>
        <w:rPr>
          <w:noProof/>
          <w:lang w:eastAsia="en-US" w:bidi="ar-SA"/>
        </w:rPr>
        <mc:AlternateContent>
          <mc:Choice Requires="wps">
            <w:drawing>
              <wp:anchor distT="0" distB="0" distL="114300" distR="114300" simplePos="0" relativeHeight="251658240" behindDoc="0" locked="0" layoutInCell="1" allowOverlap="1" wp14:anchorId="5CB543C6" wp14:editId="30F5FBA4">
                <wp:simplePos x="0" y="0"/>
                <wp:positionH relativeFrom="column">
                  <wp:posOffset>-205740</wp:posOffset>
                </wp:positionH>
                <wp:positionV relativeFrom="paragraph">
                  <wp:posOffset>0</wp:posOffset>
                </wp:positionV>
                <wp:extent cx="6345555" cy="415925"/>
                <wp:effectExtent l="1270" t="0" r="3175" b="0"/>
                <wp:wrapThrough wrapText="bothSides">
                  <wp:wrapPolygon edited="0">
                    <wp:start x="0" y="0"/>
                    <wp:lineTo x="21600" y="0"/>
                    <wp:lineTo x="21600" y="21600"/>
                    <wp:lineTo x="0" y="2160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25E59D" w14:textId="77777777" w:rsidR="00A0298C" w:rsidRPr="008D3741" w:rsidRDefault="007B7DAF" w:rsidP="00A0298C">
                            <w:pPr>
                              <w:rPr>
                                <w:rFonts w:ascii="Times New Roman" w:hAnsi="Times New Roman" w:cs="Times New Roman"/>
                              </w:rPr>
                            </w:pPr>
                            <w:r>
                              <w:rPr>
                                <w:rFonts w:ascii="Times New Roman" w:hAnsi="Times New Roman" w:cs="Times New Roman"/>
                              </w:rPr>
                              <w:t>Figure 1</w:t>
                            </w:r>
                            <w:r w:rsidR="00A0298C" w:rsidRPr="008D3741">
                              <w:rPr>
                                <w:rFonts w:ascii="Times New Roman" w:hAnsi="Times New Roman" w:cs="Times New Roman"/>
                              </w:rPr>
                              <w:t xml:space="preserve">: The algorithm's percent correctly predicted. The final models for BeSiVa had a mean of slightly below .7, and bear </w:t>
                            </w:r>
                            <w:r w:rsidR="00610788" w:rsidRPr="008D3741">
                              <w:rPr>
                                <w:rFonts w:ascii="Times New Roman" w:hAnsi="Times New Roman" w:cs="Times New Roman"/>
                              </w:rPr>
                              <w:t>superficial</w:t>
                            </w:r>
                            <w:r w:rsidR="00A0298C" w:rsidRPr="008D3741">
                              <w:rPr>
                                <w:rFonts w:ascii="Times New Roman" w:hAnsi="Times New Roman" w:cs="Times New Roman"/>
                              </w:rPr>
                              <w:t xml:space="preserve"> similarities to a normal distribution.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5CB543C6" id="_x0000_t202" coordsize="21600,21600" o:spt="202" path="m0,0l0,21600,21600,21600,21600,0xe">
                <v:stroke joinstyle="miter"/>
                <v:path gradientshapeok="t" o:connecttype="rect"/>
              </v:shapetype>
              <v:shape id="Text Box 2" o:spid="_x0000_s1026" type="#_x0000_t202" style="position:absolute;margin-left:-16.2pt;margin-top:0;width:499.65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" filled="f" stroked="f">
                <v:stroke joinstyle="round"/>
                <v:shadow opacity="49150f"/>
                <v:textbox inset="0,0,0,0">
                  <w:txbxContent>
                    <w:p w14:paraId="0B25E59D" w14:textId="77777777" w:rsidR="00A0298C" w:rsidRPr="008D3741" w:rsidRDefault="007B7DAF" w:rsidP="00A0298C">
                      <w:pPr>
                        <w:rPr>
                          <w:rFonts w:ascii="Times New Roman" w:hAnsi="Times New Roman" w:cs="Times New Roman"/>
                        </w:rPr>
                      </w:pPr>
                      <w:r>
                        <w:rPr>
                          <w:rFonts w:ascii="Times New Roman" w:hAnsi="Times New Roman" w:cs="Times New Roman"/>
                        </w:rPr>
                        <w:t>Figure 1</w:t>
                      </w:r>
                      <w:r w:rsidR="00A0298C" w:rsidRPr="008D3741">
                        <w:rPr>
                          <w:rFonts w:ascii="Times New Roman" w:hAnsi="Times New Roman" w:cs="Times New Roman"/>
                        </w:rPr>
                        <w:t xml:space="preserve">: The algorithm's percent correctly predicted. The final models for BeSiVa had a mean of slightly below .7, and bear </w:t>
                      </w:r>
                      <w:r w:rsidR="00610788" w:rsidRPr="008D3741">
                        <w:rPr>
                          <w:rFonts w:ascii="Times New Roman" w:hAnsi="Times New Roman" w:cs="Times New Roman"/>
                        </w:rPr>
                        <w:t>superficial</w:t>
                      </w:r>
                      <w:r w:rsidR="00A0298C" w:rsidRPr="008D3741">
                        <w:rPr>
                          <w:rFonts w:ascii="Times New Roman" w:hAnsi="Times New Roman" w:cs="Times New Roman"/>
                        </w:rPr>
                        <w:t xml:space="preserve"> similarities to a normal distribution.</w:t>
                      </w:r>
                    </w:p>
                  </w:txbxContent>
                </v:textbox>
                <w10:wrap type="through"/>
              </v:shape>
            </w:pict>
          </mc:Fallback>
        </mc:AlternateContent>
      </w:r>
    </w:p>
    <w:p w14:paraId="44251ED8" w14:textId="77777777" w:rsidR="00A0298C" w:rsidRDefault="00A0298C" w:rsidP="008D3741">
      <w:pPr>
        <w:pStyle w:val="BodyText"/>
        <w:spacing w:line="480" w:lineRule="auto"/>
        <w:jc w:val="center"/>
      </w:pPr>
      <w:r>
        <w:rPr>
          <w:noProof/>
          <w:lang w:eastAsia="en-US" w:bidi="ar-SA"/>
        </w:rPr>
        <w:drawing>
          <wp:inline distT="0" distB="0" distL="0" distR="0" wp14:anchorId="67C38DF4" wp14:editId="5429BF80">
            <wp:extent cx="4546600" cy="454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6600" cy="4546600"/>
                    </a:xfrm>
                    <a:prstGeom prst="rect">
                      <a:avLst/>
                    </a:prstGeom>
                    <a:solidFill>
                      <a:srgbClr val="FFFFFF"/>
                    </a:solidFill>
                    <a:ln>
                      <a:noFill/>
                    </a:ln>
                  </pic:spPr>
                </pic:pic>
              </a:graphicData>
            </a:graphic>
          </wp:inline>
        </w:drawing>
      </w:r>
    </w:p>
    <w:p w14:paraId="5F1D29C5" w14:textId="77777777" w:rsidR="00A46CAE" w:rsidRDefault="00A46CAE" w:rsidP="008C2B96">
      <w:pPr>
        <w:spacing w:line="480" w:lineRule="auto"/>
      </w:pPr>
    </w:p>
    <w:p w14:paraId="7CD85A95" w14:textId="77777777" w:rsidR="0000242A" w:rsidRDefault="0000242A" w:rsidP="008C2B96">
      <w:pPr>
        <w:spacing w:line="480" w:lineRule="auto"/>
      </w:pPr>
    </w:p>
    <w:p w14:paraId="1317F52D" w14:textId="77777777" w:rsidR="0000242A" w:rsidRDefault="0000242A" w:rsidP="008C2B96">
      <w:pPr>
        <w:spacing w:line="480" w:lineRule="auto"/>
      </w:pPr>
    </w:p>
    <w:p w14:paraId="19257A52" w14:textId="77777777" w:rsidR="0000242A" w:rsidRDefault="0000242A" w:rsidP="008C2B96">
      <w:pPr>
        <w:spacing w:line="480" w:lineRule="auto"/>
      </w:pPr>
    </w:p>
    <w:p w14:paraId="4DD24D64" w14:textId="77777777" w:rsidR="0000242A" w:rsidRDefault="0000242A" w:rsidP="008C2B96">
      <w:pPr>
        <w:spacing w:line="480" w:lineRule="auto"/>
      </w:pPr>
    </w:p>
    <w:p w14:paraId="17EFD89C" w14:textId="77777777" w:rsidR="0000242A" w:rsidRDefault="0000242A" w:rsidP="008C2B96">
      <w:pPr>
        <w:spacing w:line="480" w:lineRule="auto"/>
      </w:pPr>
    </w:p>
    <w:p w14:paraId="6755A5FF" w14:textId="77777777" w:rsidR="0000242A" w:rsidRDefault="0000242A" w:rsidP="008C2B96">
      <w:pPr>
        <w:spacing w:line="480" w:lineRule="auto"/>
      </w:pPr>
    </w:p>
    <w:p w14:paraId="5BCE12DC" w14:textId="77777777" w:rsidR="0000242A" w:rsidRDefault="0000242A" w:rsidP="008C2B96">
      <w:pPr>
        <w:spacing w:line="480" w:lineRule="auto"/>
      </w:pPr>
      <w:r>
        <w:rPr>
          <w:noProof/>
        </w:rPr>
        <mc:AlternateContent>
          <mc:Choice Requires="wps">
            <w:drawing>
              <wp:anchor distT="0" distB="0" distL="114300" distR="114300" simplePos="0" relativeHeight="251659264" behindDoc="0" locked="0" layoutInCell="1" allowOverlap="1" wp14:anchorId="60A486FC" wp14:editId="22DB6A8F">
                <wp:simplePos x="0" y="0"/>
                <wp:positionH relativeFrom="column">
                  <wp:posOffset>-177800</wp:posOffset>
                </wp:positionH>
                <wp:positionV relativeFrom="paragraph">
                  <wp:posOffset>1905</wp:posOffset>
                </wp:positionV>
                <wp:extent cx="6345555" cy="701675"/>
                <wp:effectExtent l="0" t="0" r="4445" b="9525"/>
                <wp:wrapThrough wrapText="bothSides">
                  <wp:wrapPolygon edited="0">
                    <wp:start x="0" y="0"/>
                    <wp:lineTo x="0" y="21111"/>
                    <wp:lineTo x="21529" y="21111"/>
                    <wp:lineTo x="21529" y="0"/>
                    <wp:lineTo x="0" y="0"/>
                  </wp:wrapPolygon>
                </wp:wrapThrough>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701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C52E24C"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2</w:t>
                            </w:r>
                            <w:r w:rsidRPr="008D3741">
                              <w:rPr>
                                <w:rFonts w:ascii="Times New Roman" w:hAnsi="Times New Roman" w:cs="Times New Roman"/>
                              </w:rPr>
                              <w:t>: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0A486FC" id="Text Box 7" o:spid="_x0000_s1027" type="#_x0000_t202" style="position:absolute;margin-left:-14pt;margin-top:.15pt;width:499.6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" filled="f" stroked="f">
                <v:stroke joinstyle="round"/>
                <v:shadow opacity="49150f"/>
                <v:textbox inset="0,0,0,0">
                  <w:txbxContent>
                    <w:p w14:paraId="6C52E24C" w14:textId="77777777" w:rsidR="0000242A" w:rsidRPr="008D3741" w:rsidRDefault="0000242A" w:rsidP="0000242A">
                      <w:pPr>
                        <w:spacing w:line="100" w:lineRule="atLeast"/>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2</w:t>
                      </w:r>
                      <w:r w:rsidRPr="008D3741">
                        <w:rPr>
                          <w:rFonts w:ascii="Times New Roman" w:hAnsi="Times New Roman" w:cs="Times New Roman"/>
                        </w:rPr>
                        <w:t>: A comparison of the PCPs between theoretically specified models. By comparison to the PCP in the histogram, the medians here fall well below 70%, suggesting that these models are less capable of predicting whether a person votes, Even Campbell et al. 1960, whose model is still well below the mean percentage of the percent correctly predicted.</w:t>
                      </w:r>
                    </w:p>
                  </w:txbxContent>
                </v:textbox>
                <w10:wrap type="through"/>
              </v:shape>
            </w:pict>
          </mc:Fallback>
        </mc:AlternateContent>
      </w:r>
    </w:p>
    <w:p w14:paraId="0BB658FE" w14:textId="77777777" w:rsidR="0000242A" w:rsidRDefault="0000242A" w:rsidP="0000242A">
      <w:pPr>
        <w:spacing w:line="480" w:lineRule="auto"/>
        <w:jc w:val="center"/>
      </w:pPr>
      <w:r>
        <w:rPr>
          <w:noProof/>
        </w:rPr>
        <w:drawing>
          <wp:inline distT="0" distB="0" distL="0" distR="0" wp14:anchorId="5693B0D6" wp14:editId="7AF3E71E">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6D80BE4B" w14:textId="77777777" w:rsidR="008D3741" w:rsidRDefault="008D3741" w:rsidP="008D3741">
      <w:pPr>
        <w:spacing w:line="480" w:lineRule="auto"/>
      </w:pPr>
    </w:p>
    <w:p w14:paraId="7F114205" w14:textId="77777777" w:rsidR="0000242A" w:rsidRDefault="0000242A" w:rsidP="008C2B96">
      <w:pPr>
        <w:spacing w:line="480" w:lineRule="auto"/>
      </w:pPr>
    </w:p>
    <w:p w14:paraId="541EC6E8" w14:textId="77777777" w:rsidR="0000242A" w:rsidRDefault="0000242A" w:rsidP="008C2B96">
      <w:pPr>
        <w:spacing w:line="480" w:lineRule="auto"/>
      </w:pPr>
    </w:p>
    <w:p w14:paraId="3BC18D52" w14:textId="77777777" w:rsidR="0000242A" w:rsidRDefault="0000242A" w:rsidP="008C2B96">
      <w:pPr>
        <w:spacing w:line="480" w:lineRule="auto"/>
      </w:pPr>
    </w:p>
    <w:p w14:paraId="0B5750DE" w14:textId="77777777" w:rsidR="0000242A" w:rsidRDefault="0000242A" w:rsidP="008C2B96">
      <w:pPr>
        <w:spacing w:line="480" w:lineRule="auto"/>
      </w:pPr>
    </w:p>
    <w:p w14:paraId="2FC61277" w14:textId="77777777" w:rsidR="0000242A" w:rsidRDefault="0000242A" w:rsidP="008C2B96">
      <w:pPr>
        <w:spacing w:line="480" w:lineRule="auto"/>
      </w:pPr>
    </w:p>
    <w:p w14:paraId="5CBF3373" w14:textId="77777777" w:rsidR="0000242A" w:rsidRDefault="0000242A" w:rsidP="008C2B96">
      <w:pPr>
        <w:spacing w:line="480" w:lineRule="auto"/>
      </w:pPr>
      <w:r>
        <w:rPr>
          <w:noProof/>
        </w:rPr>
        <mc:AlternateContent>
          <mc:Choice Requires="wps">
            <w:drawing>
              <wp:anchor distT="0" distB="0" distL="114300" distR="114300" simplePos="0" relativeHeight="251661312" behindDoc="0" locked="0" layoutInCell="1" allowOverlap="1" wp14:anchorId="79F660E2" wp14:editId="7BEFA905">
                <wp:simplePos x="0" y="0"/>
                <wp:positionH relativeFrom="column">
                  <wp:posOffset>0</wp:posOffset>
                </wp:positionH>
                <wp:positionV relativeFrom="paragraph">
                  <wp:posOffset>377190</wp:posOffset>
                </wp:positionV>
                <wp:extent cx="6345555" cy="415925"/>
                <wp:effectExtent l="1270" t="0" r="3175" b="0"/>
                <wp:wrapThrough wrapText="bothSides">
                  <wp:wrapPolygon edited="0">
                    <wp:start x="0" y="0"/>
                    <wp:lineTo x="21600" y="0"/>
                    <wp:lineTo x="21600" y="21600"/>
                    <wp:lineTo x="0" y="21600"/>
                    <wp:lineTo x="0" y="0"/>
                  </wp:wrapPolygon>
                </wp:wrapThrough>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415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ADD41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3</w:t>
                            </w:r>
                            <w:r w:rsidRPr="008D3741">
                              <w:rPr>
                                <w:rFonts w:ascii="Times New Roman" w:hAnsi="Times New Roman" w:cs="Times New Roman"/>
                              </w:rPr>
                              <w:t xml:space="preserve">: BeSiVa's selections. Out of 100 runs, BeSiVa selected education most often, followed by party ID and time spent in someone's house. </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9F660E2" id="Text Box 8" o:spid="_x0000_s1028" type="#_x0000_t202" style="position:absolute;margin-left:0;margin-top:29.7pt;width:499.65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" filled="f" stroked="f">
                <v:stroke joinstyle="round"/>
                <v:shadow opacity="49150f"/>
                <v:textbox inset="0,0,0,0">
                  <w:txbxContent>
                    <w:p w14:paraId="69ADD417"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3</w:t>
                      </w:r>
                      <w:r w:rsidRPr="008D3741">
                        <w:rPr>
                          <w:rFonts w:ascii="Times New Roman" w:hAnsi="Times New Roman" w:cs="Times New Roman"/>
                        </w:rPr>
                        <w:t xml:space="preserve">: BeSiVa's selections. Out of 100 runs, BeSiVa selected education most often, followed by party ID and time spent in someone's house. </w:t>
                      </w:r>
                    </w:p>
                  </w:txbxContent>
                </v:textbox>
                <w10:wrap type="through"/>
              </v:shape>
            </w:pict>
          </mc:Fallback>
        </mc:AlternateContent>
      </w:r>
    </w:p>
    <w:p w14:paraId="2E25A2E9" w14:textId="77777777" w:rsidR="0000242A" w:rsidRDefault="0000242A" w:rsidP="008C2B96">
      <w:pPr>
        <w:spacing w:line="480" w:lineRule="auto"/>
      </w:pPr>
    </w:p>
    <w:p w14:paraId="74E7A034" w14:textId="77777777" w:rsidR="0000242A" w:rsidRDefault="0000242A" w:rsidP="0000242A">
      <w:pPr>
        <w:spacing w:line="480" w:lineRule="auto"/>
        <w:jc w:val="center"/>
      </w:pPr>
      <w:r>
        <w:rPr>
          <w:noProof/>
        </w:rPr>
        <w:drawing>
          <wp:inline distT="0" distB="0" distL="0" distR="0" wp14:anchorId="34342CD0" wp14:editId="50A7F51D">
            <wp:extent cx="4586605" cy="4586605"/>
            <wp:effectExtent l="0" t="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6605" cy="4586605"/>
                    </a:xfrm>
                    <a:prstGeom prst="rect">
                      <a:avLst/>
                    </a:prstGeom>
                    <a:solidFill>
                      <a:srgbClr val="FFFFFF"/>
                    </a:solidFill>
                    <a:ln>
                      <a:noFill/>
                    </a:ln>
                  </pic:spPr>
                </pic:pic>
              </a:graphicData>
            </a:graphic>
          </wp:inline>
        </w:drawing>
      </w:r>
    </w:p>
    <w:p w14:paraId="74F9E9BE" w14:textId="77777777" w:rsidR="0000242A" w:rsidRDefault="0000242A" w:rsidP="008C2B96">
      <w:pPr>
        <w:spacing w:line="480" w:lineRule="auto"/>
      </w:pPr>
    </w:p>
    <w:p w14:paraId="32890BCB" w14:textId="77777777" w:rsidR="0000242A" w:rsidRDefault="0000242A" w:rsidP="008C2B96">
      <w:pPr>
        <w:spacing w:line="480" w:lineRule="auto"/>
      </w:pPr>
    </w:p>
    <w:p w14:paraId="4E9648A1" w14:textId="77777777" w:rsidR="0000242A" w:rsidRDefault="0000242A" w:rsidP="008C2B96">
      <w:pPr>
        <w:spacing w:line="480" w:lineRule="auto"/>
      </w:pPr>
    </w:p>
    <w:p w14:paraId="766D392D" w14:textId="77777777" w:rsidR="0000242A" w:rsidRDefault="0000242A" w:rsidP="008C2B96">
      <w:pPr>
        <w:spacing w:line="480" w:lineRule="auto"/>
      </w:pPr>
    </w:p>
    <w:p w14:paraId="57377ABE" w14:textId="77777777" w:rsidR="0000242A" w:rsidRDefault="0000242A" w:rsidP="008C2B96">
      <w:pPr>
        <w:spacing w:line="480" w:lineRule="auto"/>
      </w:pPr>
    </w:p>
    <w:p w14:paraId="066CAD8F" w14:textId="77777777" w:rsidR="0000242A" w:rsidRDefault="0000242A" w:rsidP="008C2B96">
      <w:pPr>
        <w:spacing w:line="480" w:lineRule="auto"/>
      </w:pPr>
    </w:p>
    <w:p w14:paraId="124AF4F5" w14:textId="77777777" w:rsidR="0000242A" w:rsidRDefault="0000242A" w:rsidP="008C2B96">
      <w:pPr>
        <w:spacing w:line="480" w:lineRule="auto"/>
      </w:pPr>
    </w:p>
    <w:p w14:paraId="60A422B5" w14:textId="77777777" w:rsidR="0000242A" w:rsidRDefault="0000242A" w:rsidP="008C2B96">
      <w:pPr>
        <w:spacing w:line="480" w:lineRule="auto"/>
      </w:pPr>
      <w:r>
        <w:rPr>
          <w:noProof/>
        </w:rPr>
        <mc:AlternateContent>
          <mc:Choice Requires="wps">
            <w:drawing>
              <wp:anchor distT="0" distB="0" distL="114300" distR="114300" simplePos="0" relativeHeight="251662336" behindDoc="0" locked="0" layoutInCell="1" allowOverlap="1" wp14:anchorId="5673334C" wp14:editId="1C83DBAE">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769B2C6"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4</w:t>
                            </w:r>
                            <w:r w:rsidRPr="008D3741">
                              <w:rPr>
                                <w:rFonts w:ascii="Times New Roman" w:hAnsi="Times New Roman" w:cs="Times New Roman"/>
                              </w:rPr>
                              <w:t>: A test of the independent variables. The independent variables selected by BeSiVa in figure 3 were added to models one at a time, and cross-validated 100 times. In this case, the best model is the one that has 7 variables included, but the variation is large.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673334C" id="Text Box 12" o:spid="_x0000_s1029" type="#_x0000_t202" style="position:absolute;margin-left:-16.2pt;margin-top:0;width:499.65pt;height:4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" filled="f" stroked="f">
                <v:stroke joinstyle="round"/>
                <v:shadow opacity="49150f"/>
                <v:textbox inset="0,0,0,0">
                  <w:txbxContent>
                    <w:p w14:paraId="5769B2C6"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 xml:space="preserve">Figure </w:t>
                      </w:r>
                      <w:r w:rsidR="007B7DAF">
                        <w:rPr>
                          <w:rFonts w:ascii="Times New Roman" w:hAnsi="Times New Roman" w:cs="Times New Roman"/>
                        </w:rPr>
                        <w:t>4</w:t>
                      </w:r>
                      <w:r w:rsidRPr="008D3741">
                        <w:rPr>
                          <w:rFonts w:ascii="Times New Roman" w:hAnsi="Times New Roman" w:cs="Times New Roman"/>
                        </w:rPr>
                        <w:t>: A test of the independent variables. The independent variables selected by BeSiVa in figure 3 were added to models one at a time, and cross-validated 100 times. In this case, the best model is the one that has 7 variables included, but the variation is large.</w:t>
                      </w:r>
                    </w:p>
                  </w:txbxContent>
                </v:textbox>
                <w10:wrap type="through"/>
              </v:shape>
            </w:pict>
          </mc:Fallback>
        </mc:AlternateContent>
      </w:r>
    </w:p>
    <w:p w14:paraId="13D47371" w14:textId="77777777" w:rsidR="0000242A" w:rsidRDefault="0000242A" w:rsidP="0000242A">
      <w:pPr>
        <w:spacing w:line="480" w:lineRule="auto"/>
        <w:jc w:val="center"/>
      </w:pPr>
      <w:r>
        <w:rPr>
          <w:noProof/>
        </w:rPr>
        <w:drawing>
          <wp:inline distT="0" distB="0" distL="0" distR="0" wp14:anchorId="098F595D" wp14:editId="5B63EC45">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solidFill>
                      <a:srgbClr val="FFFFFF"/>
                    </a:solidFill>
                    <a:ln>
                      <a:noFill/>
                    </a:ln>
                  </pic:spPr>
                </pic:pic>
              </a:graphicData>
            </a:graphic>
          </wp:inline>
        </w:drawing>
      </w:r>
    </w:p>
    <w:p w14:paraId="585D68ED" w14:textId="77777777" w:rsidR="0000242A" w:rsidRDefault="0000242A" w:rsidP="008C2B96">
      <w:pPr>
        <w:spacing w:line="480" w:lineRule="auto"/>
      </w:pPr>
    </w:p>
    <w:p w14:paraId="128F32C1" w14:textId="77777777" w:rsidR="0000242A" w:rsidRDefault="0000242A" w:rsidP="008C2B96">
      <w:pPr>
        <w:spacing w:line="480" w:lineRule="auto"/>
      </w:pPr>
    </w:p>
    <w:p w14:paraId="1A9AC3BF" w14:textId="77777777" w:rsidR="0000242A" w:rsidRDefault="0000242A" w:rsidP="008C2B96">
      <w:pPr>
        <w:spacing w:line="480" w:lineRule="auto"/>
      </w:pPr>
    </w:p>
    <w:p w14:paraId="3E54419D" w14:textId="77777777" w:rsidR="0000242A" w:rsidRDefault="0000242A" w:rsidP="008C2B96">
      <w:pPr>
        <w:spacing w:line="480" w:lineRule="auto"/>
      </w:pPr>
    </w:p>
    <w:p w14:paraId="41660BF6" w14:textId="77777777" w:rsidR="0000242A" w:rsidRDefault="0000242A" w:rsidP="008C2B96">
      <w:pPr>
        <w:spacing w:line="480" w:lineRule="auto"/>
      </w:pPr>
    </w:p>
    <w:p w14:paraId="02E5B3BD" w14:textId="77777777" w:rsidR="0000242A" w:rsidRDefault="0000242A" w:rsidP="008C2B96">
      <w:pPr>
        <w:spacing w:line="480" w:lineRule="auto"/>
      </w:pPr>
    </w:p>
    <w:p w14:paraId="412D0532" w14:textId="77777777" w:rsidR="0000242A" w:rsidRDefault="0000242A" w:rsidP="008C2B96">
      <w:pPr>
        <w:spacing w:line="480" w:lineRule="auto"/>
      </w:pPr>
    </w:p>
    <w:p w14:paraId="772D1718" w14:textId="77777777" w:rsidR="0000242A" w:rsidRDefault="0000242A" w:rsidP="008C2B96">
      <w:pPr>
        <w:spacing w:line="480" w:lineRule="auto"/>
      </w:pPr>
      <w:r>
        <w:rPr>
          <w:noProof/>
        </w:rPr>
        <mc:AlternateContent>
          <mc:Choice Requires="wps">
            <w:drawing>
              <wp:anchor distT="0" distB="0" distL="114300" distR="114300" simplePos="0" relativeHeight="251663360" behindDoc="0" locked="0" layoutInCell="1" allowOverlap="1" wp14:anchorId="236C08B5" wp14:editId="0296C1FA">
                <wp:simplePos x="0" y="0"/>
                <wp:positionH relativeFrom="column">
                  <wp:posOffset>-205740</wp:posOffset>
                </wp:positionH>
                <wp:positionV relativeFrom="paragraph">
                  <wp:posOffset>0</wp:posOffset>
                </wp:positionV>
                <wp:extent cx="6345555" cy="526415"/>
                <wp:effectExtent l="1270" t="0" r="3175" b="0"/>
                <wp:wrapThrough wrapText="bothSides">
                  <wp:wrapPolygon edited="0">
                    <wp:start x="0" y="0"/>
                    <wp:lineTo x="21600" y="0"/>
                    <wp:lineTo x="21600" y="21600"/>
                    <wp:lineTo x="0" y="2160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526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28D810E"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5</w:t>
                            </w:r>
                            <w:r w:rsidRPr="008D3741">
                              <w:rPr>
                                <w:rFonts w:ascii="Times New Roman" w:hAnsi="Times New Roman" w:cs="Times New Roman"/>
                              </w:rPr>
                              <w:t>: the same test, repeated 1000 times. Note that in this case, the largest PCP is also the first one whose 95% confidence band fall outside the choosing the mode for category, with the first 4 independent variables.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36C08B5" id="Text Box 14" o:spid="_x0000_s1030" type="#_x0000_t202" style="position:absolute;margin-left:-16.2pt;margin-top:0;width:499.6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" filled="f" stroked="f">
                <v:stroke joinstyle="round"/>
                <v:shadow opacity="49150f"/>
                <v:textbox inset="0,0,0,0">
                  <w:txbxContent>
                    <w:p w14:paraId="428D810E" w14:textId="77777777" w:rsidR="0000242A" w:rsidRPr="008D3741" w:rsidRDefault="0000242A" w:rsidP="0000242A">
                      <w:pPr>
                        <w:rPr>
                          <w:rFonts w:ascii="Times New Roman" w:hAnsi="Times New Roman" w:cs="Times New Roman"/>
                        </w:rPr>
                      </w:pPr>
                      <w:r w:rsidRPr="008D3741">
                        <w:rPr>
                          <w:rFonts w:ascii="Times New Roman" w:hAnsi="Times New Roman" w:cs="Times New Roman"/>
                        </w:rPr>
                        <w:t>F</w:t>
                      </w:r>
                      <w:r w:rsidR="007B7DAF">
                        <w:rPr>
                          <w:rFonts w:ascii="Times New Roman" w:hAnsi="Times New Roman" w:cs="Times New Roman"/>
                        </w:rPr>
                        <w:t>igure 5</w:t>
                      </w:r>
                      <w:r w:rsidRPr="008D3741">
                        <w:rPr>
                          <w:rFonts w:ascii="Times New Roman" w:hAnsi="Times New Roman" w:cs="Times New Roman"/>
                        </w:rPr>
                        <w:t>: the same test, repeated 1000 times. Note that in this case, the largest PCP is also the first one whose 95% confidence band fall outside the choosing the mode for category, with the first 4 independent variables.</w:t>
                      </w:r>
                    </w:p>
                  </w:txbxContent>
                </v:textbox>
                <w10:wrap type="through"/>
              </v:shape>
            </w:pict>
          </mc:Fallback>
        </mc:AlternateContent>
      </w:r>
    </w:p>
    <w:p w14:paraId="17DBF2F3" w14:textId="77777777" w:rsidR="0000242A" w:rsidRDefault="0000242A" w:rsidP="0000242A">
      <w:pPr>
        <w:spacing w:line="480" w:lineRule="auto"/>
        <w:jc w:val="center"/>
      </w:pPr>
      <w:r>
        <w:rPr>
          <w:noProof/>
        </w:rPr>
        <w:drawing>
          <wp:inline distT="0" distB="0" distL="0" distR="0" wp14:anchorId="6C9C4C77" wp14:editId="432E575C">
            <wp:extent cx="4528185" cy="452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185" cy="4528185"/>
                    </a:xfrm>
                    <a:prstGeom prst="rect">
                      <a:avLst/>
                    </a:prstGeom>
                    <a:solidFill>
                      <a:srgbClr val="FFFFFF"/>
                    </a:solidFill>
                    <a:ln>
                      <a:noFill/>
                    </a:ln>
                  </pic:spPr>
                </pic:pic>
              </a:graphicData>
            </a:graphic>
          </wp:inline>
        </w:drawing>
      </w:r>
    </w:p>
    <w:p w14:paraId="6C04183C" w14:textId="77777777" w:rsidR="00EC2A24" w:rsidRDefault="00EC2A24" w:rsidP="008C2B96">
      <w:pPr>
        <w:spacing w:line="480" w:lineRule="auto"/>
      </w:pPr>
    </w:p>
    <w:p w14:paraId="7422AC55" w14:textId="77777777" w:rsidR="00EC2A24" w:rsidRDefault="00EC2A24" w:rsidP="008C2B96">
      <w:pPr>
        <w:spacing w:line="480" w:lineRule="auto"/>
      </w:pPr>
    </w:p>
    <w:p w14:paraId="713A2081" w14:textId="77777777" w:rsidR="00EC2A24" w:rsidRDefault="00EC2A24" w:rsidP="008C2B96">
      <w:pPr>
        <w:spacing w:line="480" w:lineRule="auto"/>
      </w:pPr>
    </w:p>
    <w:p w14:paraId="5DFDD6CB" w14:textId="77777777" w:rsidR="00EC2A24" w:rsidRDefault="00EC2A24" w:rsidP="008C2B96">
      <w:pPr>
        <w:spacing w:line="480" w:lineRule="auto"/>
      </w:pPr>
    </w:p>
    <w:p w14:paraId="6E26132B" w14:textId="77777777" w:rsidR="00EC2A24" w:rsidRDefault="00EC2A24" w:rsidP="008C2B96">
      <w:pPr>
        <w:spacing w:line="480" w:lineRule="auto"/>
      </w:pPr>
    </w:p>
    <w:p w14:paraId="45BA4844" w14:textId="77777777" w:rsidR="002B21B5" w:rsidRDefault="000661D8" w:rsidP="008C2B96">
      <w:pPr>
        <w:spacing w:line="480" w:lineRule="auto"/>
      </w:pPr>
      <w:r>
        <w:rPr>
          <w:noProof/>
        </w:rPr>
        <mc:AlternateContent>
          <mc:Choice Requires="wps">
            <w:drawing>
              <wp:anchor distT="0" distB="0" distL="114300" distR="114300" simplePos="0" relativeHeight="251665408" behindDoc="0" locked="0" layoutInCell="1" allowOverlap="1" wp14:anchorId="63DA4501" wp14:editId="4796165F">
                <wp:simplePos x="0" y="0"/>
                <wp:positionH relativeFrom="column">
                  <wp:posOffset>0</wp:posOffset>
                </wp:positionH>
                <wp:positionV relativeFrom="paragraph">
                  <wp:posOffset>369570</wp:posOffset>
                </wp:positionV>
                <wp:extent cx="6109335" cy="79248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109335" cy="792480"/>
                        </a:xfrm>
                        <a:prstGeom prst="rect">
                          <a:avLst/>
                        </a:prstGeom>
                        <a:noFill/>
                        <a:ln>
                          <a:noFill/>
                        </a:ln>
                        <a:effectLst/>
                      </wps:spPr>
                      <wps:txbx>
                        <w:txbxContent>
                          <w:p w14:paraId="21F550D9" w14:textId="77777777"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A4501" id="Text Box 19" o:spid="_x0000_s1031" type="#_x0000_t202" style="position:absolute;margin-left:0;margin-top:29.1pt;width:481.05pt;height:6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" filled="f" stroked="f">
                <v:textbox style="mso-fit-shape-to-text:t">
                  <w:txbxContent>
                    <w:p w14:paraId="21F550D9" w14:textId="77777777" w:rsidR="000661D8" w:rsidRPr="000661D8" w:rsidRDefault="000661D8" w:rsidP="00331719">
                      <w:pPr>
                        <w:rPr>
                          <w:rFonts w:ascii="Times New Roman" w:hAnsi="Times New Roman" w:cs="Times New Roman"/>
                        </w:rPr>
                      </w:pPr>
                      <w:r w:rsidRPr="000661D8">
                        <w:rPr>
                          <w:rFonts w:ascii="Times New Roman" w:hAnsi="Times New Roman" w:cs="Times New Roman"/>
                        </w:rPr>
                        <w:t xml:space="preserve">Table 1: The </w:t>
                      </w:r>
                      <w:r w:rsidR="00331719">
                        <w:rPr>
                          <w:rFonts w:ascii="Times New Roman" w:hAnsi="Times New Roman" w:cs="Times New Roman"/>
                        </w:rPr>
                        <w:t>models with variables suggested by the algorithm and used in the first six iterations of the bootstrapping process</w:t>
                      </w:r>
                      <w:r w:rsidR="00EC2A24">
                        <w:rPr>
                          <w:rFonts w:ascii="Times New Roman" w:hAnsi="Times New Roman" w:cs="Times New Roman"/>
                        </w:rPr>
                        <w:t xml:space="preserve">. The bootstrapping tests suggest that </w:t>
                      </w:r>
                      <w:r w:rsidR="00331719">
                        <w:rPr>
                          <w:rFonts w:ascii="Times New Roman" w:hAnsi="Times New Roman" w:cs="Times New Roman"/>
                        </w:rPr>
                        <w:t>the fourth or seventh iterations are most useful for making predictions. In this case, no data are held out, to show the coefficients and significance that would arise from an explanatory standpoint.</w:t>
                      </w:r>
                    </w:p>
                  </w:txbxContent>
                </v:textbox>
                <w10:wrap type="square"/>
              </v:shape>
            </w:pict>
          </mc:Fallback>
        </mc:AlternateContent>
      </w:r>
    </w:p>
    <w:p w14:paraId="1673250F" w14:textId="77777777" w:rsidR="0000242A" w:rsidRDefault="0000242A" w:rsidP="008C2B96">
      <w:pPr>
        <w:spacing w:line="480" w:lineRule="auto"/>
      </w:pPr>
    </w:p>
    <w:p w14:paraId="5A616772" w14:textId="77777777" w:rsidR="0000242A" w:rsidRDefault="000661D8" w:rsidP="008C2B96">
      <w:pPr>
        <w:spacing w:line="480" w:lineRule="auto"/>
      </w:pPr>
      <w:r w:rsidRPr="000661D8">
        <w:rPr>
          <w:noProof/>
        </w:rPr>
        <w:drawing>
          <wp:inline distT="0" distB="0" distL="0" distR="0" wp14:anchorId="63E520A3" wp14:editId="6821FD28">
            <wp:extent cx="5943600" cy="3666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6490"/>
                    </a:xfrm>
                    <a:prstGeom prst="rect">
                      <a:avLst/>
                    </a:prstGeom>
                  </pic:spPr>
                </pic:pic>
              </a:graphicData>
            </a:graphic>
          </wp:inline>
        </w:drawing>
      </w:r>
    </w:p>
    <w:p w14:paraId="65CA66B0" w14:textId="77777777" w:rsidR="000661D8" w:rsidRDefault="000661D8" w:rsidP="008C2B96">
      <w:pPr>
        <w:spacing w:line="480" w:lineRule="auto"/>
      </w:pPr>
    </w:p>
    <w:p w14:paraId="20D26BD2" w14:textId="77777777" w:rsidR="000661D8" w:rsidRDefault="000661D8" w:rsidP="008C2B96">
      <w:pPr>
        <w:spacing w:line="480" w:lineRule="auto"/>
      </w:pPr>
    </w:p>
    <w:p w14:paraId="437F10C2" w14:textId="77777777" w:rsidR="000661D8" w:rsidRDefault="000661D8" w:rsidP="008C2B96">
      <w:pPr>
        <w:spacing w:line="480" w:lineRule="auto"/>
      </w:pPr>
    </w:p>
    <w:p w14:paraId="7CB2C887" w14:textId="77777777" w:rsidR="000661D8" w:rsidRDefault="000661D8" w:rsidP="008C2B96">
      <w:pPr>
        <w:spacing w:line="480" w:lineRule="auto"/>
      </w:pPr>
    </w:p>
    <w:p w14:paraId="71C3CC04" w14:textId="77777777" w:rsidR="000661D8" w:rsidRDefault="000661D8" w:rsidP="008C2B96">
      <w:pPr>
        <w:spacing w:line="480" w:lineRule="auto"/>
      </w:pPr>
    </w:p>
    <w:p w14:paraId="7F76A1B9" w14:textId="77777777" w:rsidR="000661D8" w:rsidRDefault="000661D8" w:rsidP="008C2B96">
      <w:pPr>
        <w:spacing w:line="480" w:lineRule="auto"/>
      </w:pPr>
    </w:p>
    <w:p w14:paraId="0527222F" w14:textId="77777777" w:rsidR="000661D8" w:rsidRDefault="000661D8" w:rsidP="008C2B96">
      <w:pPr>
        <w:spacing w:line="480" w:lineRule="auto"/>
      </w:pPr>
    </w:p>
    <w:p w14:paraId="49570ECF" w14:textId="77777777" w:rsidR="000661D8" w:rsidRDefault="00331719" w:rsidP="008C2B96">
      <w:pPr>
        <w:spacing w:line="480" w:lineRule="auto"/>
      </w:pPr>
      <w:r>
        <w:rPr>
          <w:noProof/>
        </w:rPr>
        <mc:AlternateContent>
          <mc:Choice Requires="wps">
            <w:drawing>
              <wp:anchor distT="0" distB="0" distL="114300" distR="114300" simplePos="0" relativeHeight="251667456" behindDoc="0" locked="0" layoutInCell="1" allowOverlap="1" wp14:anchorId="7AF9CF9A" wp14:editId="5C9E529C">
                <wp:simplePos x="0" y="0"/>
                <wp:positionH relativeFrom="column">
                  <wp:posOffset>0</wp:posOffset>
                </wp:positionH>
                <wp:positionV relativeFrom="paragraph">
                  <wp:posOffset>377190</wp:posOffset>
                </wp:positionV>
                <wp:extent cx="6109335" cy="6172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272B68BE" w14:textId="77777777"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F9CF9A" id="Text Box 20" o:spid="_x0000_s1032" type="#_x0000_t202" style="position:absolute;margin-left:0;margin-top:29.7pt;width:481.05pt;height:4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" filled="f" stroked="f">
                <v:textbox style="mso-fit-shape-to-text:t">
                  <w:txbxContent>
                    <w:p w14:paraId="272B68BE" w14:textId="77777777" w:rsidR="00331719" w:rsidRPr="000661D8" w:rsidRDefault="00331719" w:rsidP="00331719">
                      <w:pPr>
                        <w:rPr>
                          <w:rFonts w:ascii="Times New Roman" w:hAnsi="Times New Roman" w:cs="Times New Roman"/>
                        </w:rPr>
                      </w:pPr>
                      <w:r>
                        <w:rPr>
                          <w:rFonts w:ascii="Times New Roman" w:hAnsi="Times New Roman" w:cs="Times New Roman"/>
                        </w:rPr>
                        <w:t>Table 2</w:t>
                      </w:r>
                      <w:r w:rsidRPr="000661D8">
                        <w:rPr>
                          <w:rFonts w:ascii="Times New Roman" w:hAnsi="Times New Roman" w:cs="Times New Roman"/>
                        </w:rPr>
                        <w:t xml:space="preserve">: The </w:t>
                      </w:r>
                      <w:r>
                        <w:rPr>
                          <w:rFonts w:ascii="Times New Roman" w:hAnsi="Times New Roman" w:cs="Times New Roman"/>
                        </w:rPr>
                        <w:t xml:space="preserve">seventh through </w:t>
                      </w:r>
                      <w:r w:rsidR="00D740F8">
                        <w:rPr>
                          <w:rFonts w:ascii="Times New Roman" w:hAnsi="Times New Roman" w:cs="Times New Roman"/>
                        </w:rPr>
                        <w:t>thirteenth</w:t>
                      </w:r>
                      <w:r>
                        <w:rPr>
                          <w:rFonts w:ascii="Times New Roman" w:hAnsi="Times New Roman" w:cs="Times New Roman"/>
                        </w:rPr>
                        <w:t xml:space="preserve"> iterations </w:t>
                      </w:r>
                      <w:r w:rsidR="00D740F8">
                        <w:rPr>
                          <w:rFonts w:ascii="Times New Roman" w:hAnsi="Times New Roman" w:cs="Times New Roman"/>
                        </w:rPr>
                        <w:t>of the bootstrap</w:t>
                      </w:r>
                      <w:r w:rsidR="005949C8">
                        <w:rPr>
                          <w:rFonts w:ascii="Times New Roman" w:hAnsi="Times New Roman" w:cs="Times New Roman"/>
                        </w:rPr>
                        <w:t xml:space="preserve">. Similar to table 1, no data were held out, and despite the limited predictive capability of </w:t>
                      </w:r>
                      <w:r w:rsidR="00CC4595">
                        <w:rPr>
                          <w:rFonts w:ascii="Times New Roman" w:hAnsi="Times New Roman" w:cs="Times New Roman"/>
                        </w:rPr>
                        <w:t>any model after 7, and especially 12 and 13, significance continues to arise for some of the variables</w:t>
                      </w:r>
                      <w:r w:rsidR="00C9768A">
                        <w:rPr>
                          <w:rFonts w:ascii="Times New Roman" w:hAnsi="Times New Roman" w:cs="Times New Roman"/>
                        </w:rPr>
                        <w:t>.</w:t>
                      </w:r>
                    </w:p>
                  </w:txbxContent>
                </v:textbox>
                <w10:wrap type="square"/>
              </v:shape>
            </w:pict>
          </mc:Fallback>
        </mc:AlternateContent>
      </w:r>
    </w:p>
    <w:p w14:paraId="2BDFFBB5" w14:textId="77777777" w:rsidR="000661D8" w:rsidRDefault="000661D8" w:rsidP="008C2B96">
      <w:pPr>
        <w:spacing w:line="480" w:lineRule="auto"/>
      </w:pPr>
      <w:r w:rsidRPr="000661D8">
        <w:rPr>
          <w:noProof/>
        </w:rPr>
        <w:drawing>
          <wp:inline distT="0" distB="0" distL="0" distR="0" wp14:anchorId="40D41AB1" wp14:editId="2410C0FC">
            <wp:extent cx="5943600" cy="4839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9335"/>
                    </a:xfrm>
                    <a:prstGeom prst="rect">
                      <a:avLst/>
                    </a:prstGeom>
                  </pic:spPr>
                </pic:pic>
              </a:graphicData>
            </a:graphic>
          </wp:inline>
        </w:drawing>
      </w:r>
    </w:p>
    <w:p w14:paraId="4AC826CB" w14:textId="77777777" w:rsidR="000661D8" w:rsidRDefault="000661D8" w:rsidP="008C2B96">
      <w:pPr>
        <w:spacing w:line="480" w:lineRule="auto"/>
      </w:pPr>
    </w:p>
    <w:p w14:paraId="7B8523FE" w14:textId="77777777" w:rsidR="000661D8" w:rsidRDefault="000661D8" w:rsidP="008C2B96">
      <w:pPr>
        <w:spacing w:line="480" w:lineRule="auto"/>
      </w:pPr>
    </w:p>
    <w:p w14:paraId="3DC2B6D8" w14:textId="77777777" w:rsidR="000661D8" w:rsidRDefault="000661D8" w:rsidP="008C2B96">
      <w:pPr>
        <w:spacing w:line="480" w:lineRule="auto"/>
      </w:pPr>
    </w:p>
    <w:p w14:paraId="71ED41C6" w14:textId="77777777" w:rsidR="000661D8" w:rsidRDefault="000661D8" w:rsidP="008C2B96">
      <w:pPr>
        <w:spacing w:line="480" w:lineRule="auto"/>
      </w:pPr>
    </w:p>
    <w:p w14:paraId="360149CF" w14:textId="77777777" w:rsidR="000661D8" w:rsidRDefault="000661D8" w:rsidP="008C2B96">
      <w:pPr>
        <w:spacing w:line="480" w:lineRule="auto"/>
      </w:pPr>
    </w:p>
    <w:p w14:paraId="6A794DDB" w14:textId="77777777" w:rsidR="000661D8" w:rsidRDefault="000661D8" w:rsidP="008C2B96">
      <w:pPr>
        <w:spacing w:line="480" w:lineRule="auto"/>
      </w:pPr>
    </w:p>
    <w:p w14:paraId="4AACCB96" w14:textId="77777777" w:rsidR="000661D8" w:rsidRDefault="00391571" w:rsidP="008C2B96">
      <w:pPr>
        <w:spacing w:line="480" w:lineRule="auto"/>
      </w:pPr>
      <w:r>
        <w:rPr>
          <w:noProof/>
        </w:rPr>
        <mc:AlternateContent>
          <mc:Choice Requires="wps">
            <w:drawing>
              <wp:anchor distT="0" distB="0" distL="114300" distR="114300" simplePos="0" relativeHeight="251669504" behindDoc="0" locked="0" layoutInCell="1" allowOverlap="1" wp14:anchorId="31C83E5E" wp14:editId="6A0D662D">
                <wp:simplePos x="0" y="0"/>
                <wp:positionH relativeFrom="column">
                  <wp:posOffset>0</wp:posOffset>
                </wp:positionH>
                <wp:positionV relativeFrom="paragraph">
                  <wp:posOffset>376555</wp:posOffset>
                </wp:positionV>
                <wp:extent cx="6109335" cy="61722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109335" cy="617220"/>
                        </a:xfrm>
                        <a:prstGeom prst="rect">
                          <a:avLst/>
                        </a:prstGeom>
                        <a:noFill/>
                        <a:ln>
                          <a:noFill/>
                        </a:ln>
                        <a:effectLst/>
                      </wps:spPr>
                      <wps:txbx>
                        <w:txbxContent>
                          <w:p w14:paraId="7E36D91A" w14:textId="77777777" w:rsidR="00391571" w:rsidRPr="000661D8" w:rsidRDefault="00391571" w:rsidP="00391571">
                            <w:pPr>
                              <w:rPr>
                                <w:rFonts w:ascii="Times New Roman" w:hAnsi="Times New Roman" w:cs="Times New Roman"/>
                              </w:rPr>
                            </w:pPr>
                            <w:r>
                              <w:rPr>
                                <w:rFonts w:ascii="Times New Roman" w:hAnsi="Times New Roman" w:cs="Times New Roman"/>
                              </w:rPr>
                              <w:t>Table 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C83E5E" id="Text Box 21" o:spid="_x0000_s1033" type="#_x0000_t202" style="position:absolute;margin-left:0;margin-top:29.65pt;width:481.05pt;height:48.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" filled="f" stroked="f">
                <v:textbox style="mso-fit-shape-to-text:t">
                  <w:txbxContent>
                    <w:p w14:paraId="7E36D91A" w14:textId="77777777" w:rsidR="00391571" w:rsidRPr="000661D8" w:rsidRDefault="00391571" w:rsidP="00391571">
                      <w:pPr>
                        <w:rPr>
                          <w:rFonts w:ascii="Times New Roman" w:hAnsi="Times New Roman" w:cs="Times New Roman"/>
                        </w:rPr>
                      </w:pPr>
                      <w:r>
                        <w:rPr>
                          <w:rFonts w:ascii="Times New Roman" w:hAnsi="Times New Roman" w:cs="Times New Roman"/>
                        </w:rPr>
                        <w:t>Table 3</w:t>
                      </w:r>
                      <w:r w:rsidRPr="000661D8">
                        <w:rPr>
                          <w:rFonts w:ascii="Times New Roman" w:hAnsi="Times New Roman" w:cs="Times New Roman"/>
                        </w:rPr>
                        <w:t xml:space="preserve">: </w:t>
                      </w:r>
                      <w:r>
                        <w:rPr>
                          <w:rFonts w:ascii="Times New Roman" w:hAnsi="Times New Roman" w:cs="Times New Roman"/>
                        </w:rPr>
                        <w:t>Theoretically specified models. The summary statistics on both Teixeira, and Rosensto</w:t>
                      </w:r>
                      <w:r w:rsidR="00230F61">
                        <w:rPr>
                          <w:rFonts w:ascii="Times New Roman" w:hAnsi="Times New Roman" w:cs="Times New Roman"/>
                        </w:rPr>
                        <w:t>ne and Hansen</w:t>
                      </w:r>
                      <w:r w:rsidR="0024104B">
                        <w:rPr>
                          <w:rFonts w:ascii="Times New Roman" w:hAnsi="Times New Roman" w:cs="Times New Roman"/>
                        </w:rPr>
                        <w:t xml:space="preserve"> are both expansive, suggesting their utility from the explanatory standpoint</w:t>
                      </w:r>
                      <w:r>
                        <w:rPr>
                          <w:rFonts w:ascii="Times New Roman" w:hAnsi="Times New Roman" w:cs="Times New Roman"/>
                        </w:rPr>
                        <w:t>.</w:t>
                      </w:r>
                    </w:p>
                  </w:txbxContent>
                </v:textbox>
                <w10:wrap type="square"/>
              </v:shape>
            </w:pict>
          </mc:Fallback>
        </mc:AlternateContent>
      </w:r>
    </w:p>
    <w:p w14:paraId="620B0B16" w14:textId="77777777" w:rsidR="000661D8" w:rsidRDefault="000661D8" w:rsidP="008C2B96">
      <w:pPr>
        <w:spacing w:line="480" w:lineRule="auto"/>
      </w:pPr>
      <w:r w:rsidRPr="000661D8">
        <w:rPr>
          <w:noProof/>
        </w:rPr>
        <w:drawing>
          <wp:inline distT="0" distB="0" distL="0" distR="0" wp14:anchorId="1F15B7DF" wp14:editId="1F3BB297">
            <wp:extent cx="5740400" cy="610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400" cy="6108700"/>
                    </a:xfrm>
                    <a:prstGeom prst="rect">
                      <a:avLst/>
                    </a:prstGeom>
                  </pic:spPr>
                </pic:pic>
              </a:graphicData>
            </a:graphic>
          </wp:inline>
        </w:drawing>
      </w:r>
    </w:p>
    <w:sectPr w:rsidR="000661D8" w:rsidSect="00130C80">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CBD81" w14:textId="77777777" w:rsidR="00772C6D" w:rsidRDefault="00772C6D" w:rsidP="00410A84">
      <w:r>
        <w:separator/>
      </w:r>
    </w:p>
  </w:endnote>
  <w:endnote w:type="continuationSeparator" w:id="0">
    <w:p w14:paraId="12EDD98A" w14:textId="77777777" w:rsidR="00772C6D" w:rsidRDefault="00772C6D" w:rsidP="0041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2890C" w14:textId="3E0AB0AA" w:rsidR="00A265A5" w:rsidRPr="00320B61" w:rsidRDefault="00A265A5" w:rsidP="00320B61">
    <w:pPr>
      <w:pStyle w:val="Footer"/>
      <w:jc w:val="right"/>
      <w:rPr>
        <w:rFonts w:ascii="Times New Roman" w:hAnsi="Times New Roman" w:cs="Times New Roman"/>
      </w:rPr>
    </w:pPr>
    <w:r w:rsidRPr="00320B61">
      <w:rPr>
        <w:rFonts w:ascii="Times New Roman" w:hAnsi="Times New Roman" w:cs="Times New Roman"/>
      </w:rPr>
      <w:fldChar w:fldCharType="begin"/>
    </w:r>
    <w:r w:rsidRPr="00320B61">
      <w:rPr>
        <w:rFonts w:ascii="Times New Roman" w:hAnsi="Times New Roman" w:cs="Times New Roman"/>
      </w:rPr>
      <w:instrText xml:space="preserve"> PAGE  \* MERGEFORMAT </w:instrText>
    </w:r>
    <w:r w:rsidRPr="00320B61">
      <w:rPr>
        <w:rFonts w:ascii="Times New Roman" w:hAnsi="Times New Roman" w:cs="Times New Roman"/>
      </w:rPr>
      <w:fldChar w:fldCharType="separate"/>
    </w:r>
    <w:r w:rsidR="00772C6D">
      <w:rPr>
        <w:rFonts w:ascii="Times New Roman" w:hAnsi="Times New Roman" w:cs="Times New Roman"/>
        <w:noProof/>
      </w:rPr>
      <w:t>1</w:t>
    </w:r>
    <w:r w:rsidRPr="00320B61">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912A7" w14:textId="77777777" w:rsidR="00772C6D" w:rsidRDefault="00772C6D" w:rsidP="00410A84">
      <w:r>
        <w:separator/>
      </w:r>
    </w:p>
  </w:footnote>
  <w:footnote w:type="continuationSeparator" w:id="0">
    <w:p w14:paraId="46223247" w14:textId="77777777" w:rsidR="00772C6D" w:rsidRDefault="00772C6D" w:rsidP="00410A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96"/>
    <w:rsid w:val="00000158"/>
    <w:rsid w:val="0000242A"/>
    <w:rsid w:val="00014259"/>
    <w:rsid w:val="00020191"/>
    <w:rsid w:val="000470DA"/>
    <w:rsid w:val="00051F3A"/>
    <w:rsid w:val="000570EC"/>
    <w:rsid w:val="00057E93"/>
    <w:rsid w:val="000661D8"/>
    <w:rsid w:val="0007174D"/>
    <w:rsid w:val="00081F9E"/>
    <w:rsid w:val="000821DA"/>
    <w:rsid w:val="000A59B6"/>
    <w:rsid w:val="000B3139"/>
    <w:rsid w:val="000D4B28"/>
    <w:rsid w:val="000E58CA"/>
    <w:rsid w:val="001026D9"/>
    <w:rsid w:val="00103FBA"/>
    <w:rsid w:val="00111339"/>
    <w:rsid w:val="00130C80"/>
    <w:rsid w:val="001323AC"/>
    <w:rsid w:val="00162A39"/>
    <w:rsid w:val="00196D88"/>
    <w:rsid w:val="001A0DCD"/>
    <w:rsid w:val="001B5DF3"/>
    <w:rsid w:val="001B6749"/>
    <w:rsid w:val="001F66CC"/>
    <w:rsid w:val="0022015F"/>
    <w:rsid w:val="00230F61"/>
    <w:rsid w:val="00232510"/>
    <w:rsid w:val="0024104B"/>
    <w:rsid w:val="0026194C"/>
    <w:rsid w:val="002804D4"/>
    <w:rsid w:val="002B21B5"/>
    <w:rsid w:val="002B287A"/>
    <w:rsid w:val="002B5693"/>
    <w:rsid w:val="002E03F2"/>
    <w:rsid w:val="002F374E"/>
    <w:rsid w:val="00320B61"/>
    <w:rsid w:val="00331719"/>
    <w:rsid w:val="0034513B"/>
    <w:rsid w:val="00345453"/>
    <w:rsid w:val="003757F9"/>
    <w:rsid w:val="00391571"/>
    <w:rsid w:val="003E611B"/>
    <w:rsid w:val="003E6AF7"/>
    <w:rsid w:val="003F0DF9"/>
    <w:rsid w:val="004074F8"/>
    <w:rsid w:val="00410A84"/>
    <w:rsid w:val="00412D8C"/>
    <w:rsid w:val="00413511"/>
    <w:rsid w:val="0042159D"/>
    <w:rsid w:val="00426CC1"/>
    <w:rsid w:val="00454880"/>
    <w:rsid w:val="00456EAA"/>
    <w:rsid w:val="00483A2E"/>
    <w:rsid w:val="00497D32"/>
    <w:rsid w:val="004A278C"/>
    <w:rsid w:val="004A2BA0"/>
    <w:rsid w:val="004B4D05"/>
    <w:rsid w:val="004C0E85"/>
    <w:rsid w:val="004C147E"/>
    <w:rsid w:val="004F0AFB"/>
    <w:rsid w:val="00502104"/>
    <w:rsid w:val="0050503E"/>
    <w:rsid w:val="00506208"/>
    <w:rsid w:val="00582F3B"/>
    <w:rsid w:val="0058783F"/>
    <w:rsid w:val="0059383C"/>
    <w:rsid w:val="005949C8"/>
    <w:rsid w:val="005A4210"/>
    <w:rsid w:val="005A4231"/>
    <w:rsid w:val="005A7416"/>
    <w:rsid w:val="005B153B"/>
    <w:rsid w:val="005E36DF"/>
    <w:rsid w:val="005F69AB"/>
    <w:rsid w:val="00602CE6"/>
    <w:rsid w:val="00610788"/>
    <w:rsid w:val="006116EB"/>
    <w:rsid w:val="00627CD6"/>
    <w:rsid w:val="00634293"/>
    <w:rsid w:val="006476C9"/>
    <w:rsid w:val="00692D0C"/>
    <w:rsid w:val="00692EEE"/>
    <w:rsid w:val="006A41CE"/>
    <w:rsid w:val="006C6C65"/>
    <w:rsid w:val="006D1E02"/>
    <w:rsid w:val="006D603D"/>
    <w:rsid w:val="007118EB"/>
    <w:rsid w:val="00745C08"/>
    <w:rsid w:val="00772C6D"/>
    <w:rsid w:val="007746C4"/>
    <w:rsid w:val="0079336D"/>
    <w:rsid w:val="007B1908"/>
    <w:rsid w:val="007B7DAF"/>
    <w:rsid w:val="007D74F1"/>
    <w:rsid w:val="007E1DF4"/>
    <w:rsid w:val="007F02FA"/>
    <w:rsid w:val="007F0C44"/>
    <w:rsid w:val="00802C78"/>
    <w:rsid w:val="00821DE2"/>
    <w:rsid w:val="00880DEA"/>
    <w:rsid w:val="00883E4E"/>
    <w:rsid w:val="008852D4"/>
    <w:rsid w:val="00887C08"/>
    <w:rsid w:val="008C2B96"/>
    <w:rsid w:val="008C38C1"/>
    <w:rsid w:val="008C5456"/>
    <w:rsid w:val="008D3741"/>
    <w:rsid w:val="008E2FF5"/>
    <w:rsid w:val="008E3835"/>
    <w:rsid w:val="009060B9"/>
    <w:rsid w:val="00997AF1"/>
    <w:rsid w:val="009A3DC4"/>
    <w:rsid w:val="009A3E88"/>
    <w:rsid w:val="009C2B9D"/>
    <w:rsid w:val="009C61F8"/>
    <w:rsid w:val="009D2C1C"/>
    <w:rsid w:val="009F1F22"/>
    <w:rsid w:val="009F4F09"/>
    <w:rsid w:val="009F55B2"/>
    <w:rsid w:val="00A0298C"/>
    <w:rsid w:val="00A03C66"/>
    <w:rsid w:val="00A1291F"/>
    <w:rsid w:val="00A21F3E"/>
    <w:rsid w:val="00A24CDA"/>
    <w:rsid w:val="00A265A5"/>
    <w:rsid w:val="00A27210"/>
    <w:rsid w:val="00A32E17"/>
    <w:rsid w:val="00A46CAE"/>
    <w:rsid w:val="00A5020E"/>
    <w:rsid w:val="00A5562C"/>
    <w:rsid w:val="00A947DB"/>
    <w:rsid w:val="00A96BE1"/>
    <w:rsid w:val="00AA4D3E"/>
    <w:rsid w:val="00AC20CC"/>
    <w:rsid w:val="00AD1FBB"/>
    <w:rsid w:val="00AD4D88"/>
    <w:rsid w:val="00AE2D71"/>
    <w:rsid w:val="00AF265D"/>
    <w:rsid w:val="00B0496E"/>
    <w:rsid w:val="00B133E4"/>
    <w:rsid w:val="00B64313"/>
    <w:rsid w:val="00B869F3"/>
    <w:rsid w:val="00B918AC"/>
    <w:rsid w:val="00BC47EC"/>
    <w:rsid w:val="00BD490F"/>
    <w:rsid w:val="00BD5159"/>
    <w:rsid w:val="00BD7830"/>
    <w:rsid w:val="00C22BEE"/>
    <w:rsid w:val="00C307F6"/>
    <w:rsid w:val="00C429EB"/>
    <w:rsid w:val="00C6575D"/>
    <w:rsid w:val="00C836C5"/>
    <w:rsid w:val="00C94A54"/>
    <w:rsid w:val="00C9768A"/>
    <w:rsid w:val="00CB5C1A"/>
    <w:rsid w:val="00CC4595"/>
    <w:rsid w:val="00CF4A1A"/>
    <w:rsid w:val="00D044E2"/>
    <w:rsid w:val="00D31220"/>
    <w:rsid w:val="00D3214C"/>
    <w:rsid w:val="00D5797B"/>
    <w:rsid w:val="00D740F8"/>
    <w:rsid w:val="00D9325F"/>
    <w:rsid w:val="00D9472A"/>
    <w:rsid w:val="00D9633A"/>
    <w:rsid w:val="00D9785E"/>
    <w:rsid w:val="00DA37C1"/>
    <w:rsid w:val="00DA4DEA"/>
    <w:rsid w:val="00DA61FD"/>
    <w:rsid w:val="00DA68EF"/>
    <w:rsid w:val="00DC5361"/>
    <w:rsid w:val="00DD0551"/>
    <w:rsid w:val="00DE337C"/>
    <w:rsid w:val="00DF10E5"/>
    <w:rsid w:val="00E02C15"/>
    <w:rsid w:val="00E11116"/>
    <w:rsid w:val="00E175AB"/>
    <w:rsid w:val="00E44A12"/>
    <w:rsid w:val="00E46E07"/>
    <w:rsid w:val="00E4714E"/>
    <w:rsid w:val="00E562DC"/>
    <w:rsid w:val="00E75BA5"/>
    <w:rsid w:val="00E866E7"/>
    <w:rsid w:val="00EA48CD"/>
    <w:rsid w:val="00EC2A24"/>
    <w:rsid w:val="00EC3007"/>
    <w:rsid w:val="00EF5A7F"/>
    <w:rsid w:val="00F4064B"/>
    <w:rsid w:val="00F61D80"/>
    <w:rsid w:val="00F63E9C"/>
    <w:rsid w:val="00F86F2F"/>
    <w:rsid w:val="00F91715"/>
    <w:rsid w:val="00FB4247"/>
    <w:rsid w:val="00FC7D62"/>
    <w:rsid w:val="00FD01AD"/>
    <w:rsid w:val="00FD2D47"/>
    <w:rsid w:val="00FF2743"/>
    <w:rsid w:val="00FF303F"/>
    <w:rsid w:val="00FF6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2B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B96"/>
    <w:pPr>
      <w:spacing w:before="100" w:beforeAutospacing="1" w:after="115"/>
      <w:outlineLvl w:val="0"/>
    </w:pPr>
    <w:rPr>
      <w:rFonts w:ascii="Times New Roman" w:hAnsi="Times New Roman" w:cs="Times New Roman"/>
      <w:b/>
      <w:bCs/>
      <w:kern w:val="36"/>
      <w:sz w:val="48"/>
      <w:szCs w:val="48"/>
    </w:rPr>
  </w:style>
  <w:style w:type="paragraph" w:styleId="Heading3">
    <w:name w:val="heading 3"/>
    <w:basedOn w:val="Normal"/>
    <w:link w:val="Heading3Char"/>
    <w:uiPriority w:val="9"/>
    <w:qFormat/>
    <w:rsid w:val="008C2B96"/>
    <w:pPr>
      <w:spacing w:before="100" w:beforeAutospacing="1" w:after="115"/>
      <w:outlineLvl w:val="2"/>
    </w:pPr>
    <w:rPr>
      <w:rFonts w:ascii="Times New Roman" w:hAnsi="Times New Roman" w:cs="Times New Roman"/>
      <w:b/>
      <w:bCs/>
      <w:sz w:val="27"/>
      <w:szCs w:val="27"/>
    </w:rPr>
  </w:style>
  <w:style w:type="paragraph" w:styleId="Heading5">
    <w:name w:val="heading 5"/>
    <w:basedOn w:val="Normal"/>
    <w:link w:val="Heading5Char"/>
    <w:uiPriority w:val="9"/>
    <w:qFormat/>
    <w:rsid w:val="008C2B96"/>
    <w:pPr>
      <w:spacing w:before="100" w:beforeAutospacing="1" w:after="115"/>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B96"/>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C2B96"/>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8C2B96"/>
    <w:rPr>
      <w:rFonts w:ascii="Times New Roman" w:hAnsi="Times New Roman" w:cs="Times New Roman"/>
      <w:b/>
      <w:bCs/>
      <w:sz w:val="20"/>
      <w:szCs w:val="20"/>
    </w:rPr>
  </w:style>
  <w:style w:type="character" w:styleId="Hyperlink">
    <w:name w:val="Hyperlink"/>
    <w:basedOn w:val="DefaultParagraphFont"/>
    <w:uiPriority w:val="99"/>
    <w:semiHidden/>
    <w:unhideWhenUsed/>
    <w:rsid w:val="008C2B96"/>
    <w:rPr>
      <w:color w:val="0000FF"/>
      <w:u w:val="single"/>
    </w:rPr>
  </w:style>
  <w:style w:type="paragraph" w:styleId="NormalWeb">
    <w:name w:val="Normal (Web)"/>
    <w:basedOn w:val="Normal"/>
    <w:uiPriority w:val="99"/>
    <w:semiHidden/>
    <w:unhideWhenUsed/>
    <w:rsid w:val="008C2B96"/>
    <w:pPr>
      <w:spacing w:before="100" w:beforeAutospacing="1" w:after="115"/>
    </w:pPr>
    <w:rPr>
      <w:rFonts w:ascii="Times New Roman" w:hAnsi="Times New Roman" w:cs="Times New Roman"/>
    </w:rPr>
  </w:style>
  <w:style w:type="paragraph" w:styleId="Header">
    <w:name w:val="header"/>
    <w:basedOn w:val="Normal"/>
    <w:link w:val="HeaderChar"/>
    <w:uiPriority w:val="99"/>
    <w:unhideWhenUsed/>
    <w:rsid w:val="00410A84"/>
    <w:pPr>
      <w:tabs>
        <w:tab w:val="center" w:pos="4680"/>
        <w:tab w:val="right" w:pos="9360"/>
      </w:tabs>
    </w:pPr>
  </w:style>
  <w:style w:type="character" w:customStyle="1" w:styleId="HeaderChar">
    <w:name w:val="Header Char"/>
    <w:basedOn w:val="DefaultParagraphFont"/>
    <w:link w:val="Header"/>
    <w:uiPriority w:val="99"/>
    <w:rsid w:val="00410A84"/>
  </w:style>
  <w:style w:type="paragraph" w:styleId="Footer">
    <w:name w:val="footer"/>
    <w:basedOn w:val="Normal"/>
    <w:link w:val="FooterChar"/>
    <w:uiPriority w:val="99"/>
    <w:unhideWhenUsed/>
    <w:rsid w:val="00410A84"/>
    <w:pPr>
      <w:tabs>
        <w:tab w:val="center" w:pos="4680"/>
        <w:tab w:val="right" w:pos="9360"/>
      </w:tabs>
    </w:pPr>
  </w:style>
  <w:style w:type="character" w:customStyle="1" w:styleId="FooterChar">
    <w:name w:val="Footer Char"/>
    <w:basedOn w:val="DefaultParagraphFont"/>
    <w:link w:val="Footer"/>
    <w:uiPriority w:val="99"/>
    <w:rsid w:val="00410A84"/>
  </w:style>
  <w:style w:type="paragraph" w:styleId="BodyText">
    <w:name w:val="Body Text"/>
    <w:basedOn w:val="Normal"/>
    <w:link w:val="BodyTextChar"/>
    <w:rsid w:val="00A0298C"/>
    <w:pPr>
      <w:widowControl w:val="0"/>
      <w:suppressAutoHyphens/>
      <w:spacing w:after="120"/>
    </w:pPr>
    <w:rPr>
      <w:rFonts w:ascii="Times New Roman" w:eastAsia="Arial Unicode MS" w:hAnsi="Times New Roman" w:cs="Arial Unicode MS"/>
      <w:kern w:val="1"/>
      <w:lang w:eastAsia="hi-IN" w:bidi="hi-IN"/>
    </w:rPr>
  </w:style>
  <w:style w:type="character" w:customStyle="1" w:styleId="BodyTextChar">
    <w:name w:val="Body Text Char"/>
    <w:basedOn w:val="DefaultParagraphFont"/>
    <w:link w:val="BodyText"/>
    <w:rsid w:val="00A0298C"/>
    <w:rPr>
      <w:rFonts w:ascii="Times New Roman" w:eastAsia="Arial Unicode MS" w:hAnsi="Times New Roman" w:cs="Arial Unicode MS"/>
      <w:kern w:val="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4949">
      <w:bodyDiv w:val="1"/>
      <w:marLeft w:val="0"/>
      <w:marRight w:val="0"/>
      <w:marTop w:val="0"/>
      <w:marBottom w:val="0"/>
      <w:divBdr>
        <w:top w:val="none" w:sz="0" w:space="0" w:color="auto"/>
        <w:left w:val="none" w:sz="0" w:space="0" w:color="auto"/>
        <w:bottom w:val="none" w:sz="0" w:space="0" w:color="auto"/>
        <w:right w:val="none" w:sz="0" w:space="0" w:color="auto"/>
      </w:divBdr>
      <w:divsChild>
        <w:div w:id="817304755">
          <w:marLeft w:val="0"/>
          <w:marRight w:val="0"/>
          <w:marTop w:val="0"/>
          <w:marBottom w:val="0"/>
          <w:divBdr>
            <w:top w:val="none" w:sz="0" w:space="0" w:color="auto"/>
            <w:left w:val="none" w:sz="0" w:space="0" w:color="auto"/>
            <w:bottom w:val="none" w:sz="0" w:space="0" w:color="auto"/>
            <w:right w:val="none" w:sz="0" w:space="0" w:color="auto"/>
          </w:divBdr>
        </w:div>
        <w:div w:id="797146748">
          <w:marLeft w:val="0"/>
          <w:marRight w:val="0"/>
          <w:marTop w:val="0"/>
          <w:marBottom w:val="0"/>
          <w:divBdr>
            <w:top w:val="none" w:sz="0" w:space="0" w:color="auto"/>
            <w:left w:val="none" w:sz="0" w:space="0" w:color="auto"/>
            <w:bottom w:val="none" w:sz="0" w:space="0" w:color="auto"/>
            <w:right w:val="none" w:sz="0" w:space="0" w:color="auto"/>
          </w:divBdr>
        </w:div>
        <w:div w:id="225919795">
          <w:marLeft w:val="0"/>
          <w:marRight w:val="0"/>
          <w:marTop w:val="0"/>
          <w:marBottom w:val="0"/>
          <w:divBdr>
            <w:top w:val="none" w:sz="0" w:space="0" w:color="auto"/>
            <w:left w:val="none" w:sz="0" w:space="0" w:color="auto"/>
            <w:bottom w:val="none" w:sz="0" w:space="0" w:color="auto"/>
            <w:right w:val="none" w:sz="0" w:space="0" w:color="auto"/>
          </w:divBdr>
        </w:div>
      </w:divsChild>
    </w:div>
    <w:div w:id="1860968539">
      <w:bodyDiv w:val="1"/>
      <w:marLeft w:val="0"/>
      <w:marRight w:val="0"/>
      <w:marTop w:val="0"/>
      <w:marBottom w:val="0"/>
      <w:divBdr>
        <w:top w:val="none" w:sz="0" w:space="0" w:color="auto"/>
        <w:left w:val="none" w:sz="0" w:space="0" w:color="auto"/>
        <w:bottom w:val="none" w:sz="0" w:space="0" w:color="auto"/>
        <w:right w:val="none" w:sz="0" w:space="0" w:color="auto"/>
      </w:divBdr>
      <w:divsChild>
        <w:div w:id="273951850">
          <w:marLeft w:val="0"/>
          <w:marRight w:val="0"/>
          <w:marTop w:val="0"/>
          <w:marBottom w:val="0"/>
          <w:divBdr>
            <w:top w:val="none" w:sz="0" w:space="0" w:color="auto"/>
            <w:left w:val="none" w:sz="0" w:space="0" w:color="auto"/>
            <w:bottom w:val="none" w:sz="0" w:space="0" w:color="auto"/>
            <w:right w:val="none" w:sz="0" w:space="0" w:color="auto"/>
          </w:divBdr>
        </w:div>
        <w:div w:id="1791704061">
          <w:marLeft w:val="0"/>
          <w:marRight w:val="0"/>
          <w:marTop w:val="0"/>
          <w:marBottom w:val="0"/>
          <w:divBdr>
            <w:top w:val="none" w:sz="0" w:space="0" w:color="auto"/>
            <w:left w:val="none" w:sz="0" w:space="0" w:color="auto"/>
            <w:bottom w:val="none" w:sz="0" w:space="0" w:color="auto"/>
            <w:right w:val="none" w:sz="0" w:space="0" w:color="auto"/>
          </w:divBdr>
        </w:div>
        <w:div w:id="175049651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45</Pages>
  <Words>10677</Words>
  <Characters>60860</Characters>
  <Application>Microsoft Macintosh Word</Application>
  <DocSecurity>0</DocSecurity>
  <Lines>507</Lines>
  <Paragraphs>142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Chapter 2: Theoretical Utility and the Deductive Approach: Demonstrating BeSiVa </vt:lpstr>
      <vt:lpstr>By Benjamin Rogers</vt:lpstr>
      <vt:lpstr>October 2016</vt:lpstr>
      <vt:lpstr>        A Short History of Voter Turnout</vt:lpstr>
    </vt:vector>
  </TitlesOfParts>
  <LinksUpToDate>false</LinksUpToDate>
  <CharactersWithSpaces>71395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Rogers, Ben</dc:creator>
  <cp:keywords/>
  <dc:description/>
  <cp:lastModifiedBy>Rogers, Ben</cp:lastModifiedBy>
  <cp:revision>196</cp:revision>
  <dcterms:created xsi:type="dcterms:W3CDTF">2016-10-23T19:24:00Z</dcterms:created>
  <dcterms:modified xsi:type="dcterms:W3CDTF">2016-10-25T20:21:00Z</dcterms:modified>
</cp:coreProperties>
</file>