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0AEC3" w14:textId="77777777" w:rsidR="00237D46" w:rsidRDefault="00000000">
      <w:pPr>
        <w:spacing w:before="720" w:after="120"/>
      </w:pPr>
      <w:r>
        <w:rPr>
          <w:rFonts w:ascii="Calibri Light" w:hAnsi="Calibri Light"/>
          <w:b/>
          <w:color w:val="1F4E79"/>
          <w:sz w:val="52"/>
        </w:rPr>
        <w:t>JSON Schema Data Guide</w:t>
      </w:r>
    </w:p>
    <w:p w14:paraId="2868FF52" w14:textId="77777777" w:rsidR="00237D46" w:rsidRDefault="00000000">
      <w:pPr>
        <w:spacing w:after="480"/>
      </w:pPr>
      <w:r>
        <w:rPr>
          <w:rFonts w:ascii="Calibri" w:hAnsi="Calibri"/>
          <w:color w:val="D3D3D3"/>
          <w:sz w:val="20"/>
        </w:rPr>
        <w:t>_________________________________________________________________________________</w:t>
      </w:r>
    </w:p>
    <w:p w14:paraId="5F17C221" w14:textId="77777777" w:rsidR="00237D46" w:rsidRDefault="00000000">
      <w:pPr>
        <w:keepNext/>
        <w:spacing w:before="360" w:after="120"/>
      </w:pPr>
      <w:r>
        <w:rPr>
          <w:rFonts w:ascii="Calibri Light" w:hAnsi="Calibri Light"/>
          <w:b/>
          <w:color w:val="1F4E79"/>
          <w:sz w:val="32"/>
        </w:rPr>
        <w:t>1. Document Overview</w:t>
      </w:r>
    </w:p>
    <w:p w14:paraId="2D7F67EC" w14:textId="15D060ED" w:rsidR="00237D46" w:rsidRDefault="00000000">
      <w:pPr>
        <w:spacing w:after="120"/>
      </w:pPr>
      <w:r>
        <w:rPr>
          <w:rFonts w:ascii="Calibri" w:hAnsi="Calibri"/>
        </w:rPr>
        <w:t>This structure captures the complete workflow of a clinician performing case reviews, managing factor identification, selecting text evidence, and providing qualitative clinical evaluations.</w:t>
      </w:r>
    </w:p>
    <w:p w14:paraId="0BC28CD9" w14:textId="77777777" w:rsidR="00237D46" w:rsidRDefault="00000000">
      <w:pPr>
        <w:spacing w:after="120"/>
      </w:pPr>
      <w:r>
        <w:rPr>
          <w:rFonts w:ascii="Calibri" w:hAnsi="Calibri"/>
        </w:rPr>
        <w:t>In Supabase, the annotations.payload column stores this entire structure as a JSON blob. It serves as both the auto-save mechanism for the clinician's web browser during drafting and the formal data payload written upon final submission.</w:t>
      </w:r>
    </w:p>
    <w:p w14:paraId="41A21894" w14:textId="77777777" w:rsidR="00237D46" w:rsidRDefault="00000000">
      <w:pPr>
        <w:keepNext/>
        <w:spacing w:before="360" w:after="120"/>
      </w:pPr>
      <w:r>
        <w:rPr>
          <w:rFonts w:ascii="Calibri Light" w:hAnsi="Calibri Light"/>
          <w:b/>
          <w:color w:val="1F4E79"/>
          <w:sz w:val="32"/>
        </w:rPr>
        <w:t>2. Top-Level Payload Structure</w:t>
      </w:r>
    </w:p>
    <w:p w14:paraId="0295C501" w14:textId="77777777" w:rsidR="00237D46" w:rsidRDefault="00000000">
      <w:pPr>
        <w:spacing w:after="120"/>
      </w:pPr>
      <w:r>
        <w:rPr>
          <w:rFonts w:ascii="Calibri" w:hAnsi="Calibri"/>
        </w:rPr>
        <w:t>The root level of the JSON object maps core administrative metadata, tracks session state, and embeds child sub-objects that hold granular clinical assessments and highlights.</w:t>
      </w:r>
    </w:p>
    <w:tbl>
      <w:tblPr>
        <w:tblW w:w="0" w:type="auto"/>
        <w:jc w:val="center"/>
        <w:tblLook w:val="04A0" w:firstRow="1" w:lastRow="0" w:firstColumn="1" w:lastColumn="0" w:noHBand="0" w:noVBand="1"/>
      </w:tblPr>
      <w:tblGrid>
        <w:gridCol w:w="2880"/>
        <w:gridCol w:w="6480"/>
      </w:tblGrid>
      <w:tr w:rsidR="00237D46" w14:paraId="7F02B73A" w14:textId="77777777">
        <w:trPr>
          <w:cantSplit/>
          <w:tblHeader/>
          <w:jc w:val="center"/>
        </w:trPr>
        <w:tc>
          <w:tcPr>
            <w:tcW w:w="2880" w:type="dxa"/>
            <w:shd w:val="clear" w:color="auto" w:fill="1F4E79"/>
            <w:tcMar>
              <w:top w:w="120" w:type="dxa"/>
              <w:left w:w="150" w:type="dxa"/>
              <w:bottom w:w="120" w:type="dxa"/>
              <w:right w:w="150" w:type="dxa"/>
            </w:tcMar>
          </w:tcPr>
          <w:p w14:paraId="46B365AB" w14:textId="77777777" w:rsidR="00237D46" w:rsidRDefault="00000000">
            <w:r>
              <w:rPr>
                <w:rFonts w:ascii="Calibri" w:hAnsi="Calibri"/>
                <w:b/>
                <w:color w:val="FFFFFF"/>
              </w:rPr>
              <w:t>Field Name</w:t>
            </w:r>
          </w:p>
        </w:tc>
        <w:tc>
          <w:tcPr>
            <w:tcW w:w="6480" w:type="dxa"/>
            <w:shd w:val="clear" w:color="auto" w:fill="1F4E79"/>
            <w:tcMar>
              <w:top w:w="120" w:type="dxa"/>
              <w:left w:w="150" w:type="dxa"/>
              <w:bottom w:w="120" w:type="dxa"/>
              <w:right w:w="150" w:type="dxa"/>
            </w:tcMar>
          </w:tcPr>
          <w:p w14:paraId="6B5034B3" w14:textId="77777777" w:rsidR="00237D46" w:rsidRDefault="00000000">
            <w:r>
              <w:rPr>
                <w:rFonts w:ascii="Calibri" w:hAnsi="Calibri"/>
                <w:b/>
                <w:color w:val="FFFFFF"/>
              </w:rPr>
              <w:t>UI Mapping &amp; Functional Meaning</w:t>
            </w:r>
          </w:p>
        </w:tc>
      </w:tr>
      <w:tr w:rsidR="00237D46" w14:paraId="284B3184" w14:textId="77777777">
        <w:trPr>
          <w:cantSplit/>
          <w:jc w:val="center"/>
        </w:trPr>
        <w:tc>
          <w:tcPr>
            <w:tcW w:w="2880" w:type="dxa"/>
            <w:tcBorders>
              <w:bottom w:val="single" w:sz="4" w:space="0" w:color="D3D3D3"/>
            </w:tcBorders>
            <w:tcMar>
              <w:top w:w="100" w:type="dxa"/>
              <w:left w:w="150" w:type="dxa"/>
              <w:bottom w:w="100" w:type="dxa"/>
              <w:right w:w="150" w:type="dxa"/>
            </w:tcMar>
          </w:tcPr>
          <w:p w14:paraId="263C242F" w14:textId="77777777" w:rsidR="00237D46" w:rsidRDefault="00000000">
            <w:r>
              <w:rPr>
                <w:rFonts w:ascii="Calibri" w:hAnsi="Calibri"/>
                <w:b/>
                <w:sz w:val="21"/>
              </w:rPr>
              <w:t>caseId</w:t>
            </w:r>
          </w:p>
        </w:tc>
        <w:tc>
          <w:tcPr>
            <w:tcW w:w="6480" w:type="dxa"/>
            <w:tcBorders>
              <w:bottom w:val="single" w:sz="4" w:space="0" w:color="D3D3D3"/>
            </w:tcBorders>
            <w:tcMar>
              <w:top w:w="100" w:type="dxa"/>
              <w:left w:w="150" w:type="dxa"/>
              <w:bottom w:w="100" w:type="dxa"/>
              <w:right w:w="150" w:type="dxa"/>
            </w:tcMar>
          </w:tcPr>
          <w:p w14:paraId="6C44D924" w14:textId="77777777" w:rsidR="00237D46" w:rsidRDefault="00000000">
            <w:r>
              <w:rPr>
                <w:rFonts w:ascii="Calibri" w:hAnsi="Calibri"/>
                <w:sz w:val="21"/>
              </w:rPr>
              <w:t>Identifies the specific clinical case under review. Directly matches the unique row_id in the assignment database table.</w:t>
            </w:r>
          </w:p>
        </w:tc>
      </w:tr>
      <w:tr w:rsidR="00237D46" w14:paraId="2931CB11" w14:textId="77777777">
        <w:trPr>
          <w:cantSplit/>
          <w:jc w:val="center"/>
        </w:trPr>
        <w:tc>
          <w:tcPr>
            <w:tcW w:w="2880" w:type="dxa"/>
            <w:tcBorders>
              <w:bottom w:val="single" w:sz="4" w:space="0" w:color="D3D3D3"/>
            </w:tcBorders>
            <w:shd w:val="clear" w:color="auto" w:fill="F2F4F7"/>
            <w:tcMar>
              <w:top w:w="100" w:type="dxa"/>
              <w:left w:w="150" w:type="dxa"/>
              <w:bottom w:w="100" w:type="dxa"/>
              <w:right w:w="150" w:type="dxa"/>
            </w:tcMar>
          </w:tcPr>
          <w:p w14:paraId="67B75D1B" w14:textId="77777777" w:rsidR="00237D46" w:rsidRDefault="00000000">
            <w:r>
              <w:rPr>
                <w:rFonts w:ascii="Calibri" w:hAnsi="Calibri"/>
                <w:b/>
                <w:sz w:val="21"/>
              </w:rPr>
              <w:t>reviewerId</w:t>
            </w:r>
          </w:p>
        </w:tc>
        <w:tc>
          <w:tcPr>
            <w:tcW w:w="6480" w:type="dxa"/>
            <w:tcBorders>
              <w:bottom w:val="single" w:sz="4" w:space="0" w:color="D3D3D3"/>
            </w:tcBorders>
            <w:shd w:val="clear" w:color="auto" w:fill="F2F4F7"/>
            <w:tcMar>
              <w:top w:w="100" w:type="dxa"/>
              <w:left w:w="150" w:type="dxa"/>
              <w:bottom w:w="100" w:type="dxa"/>
              <w:right w:w="150" w:type="dxa"/>
            </w:tcMar>
          </w:tcPr>
          <w:p w14:paraId="007BD1F1" w14:textId="77777777" w:rsidR="00237D46" w:rsidRDefault="00000000">
            <w:r>
              <w:rPr>
                <w:rFonts w:ascii="Calibri" w:hAnsi="Calibri"/>
                <w:sz w:val="21"/>
              </w:rPr>
              <w:t>The unique user identifier (UUID) of the reviewing clinician.</w:t>
            </w:r>
          </w:p>
        </w:tc>
      </w:tr>
      <w:tr w:rsidR="00237D46" w14:paraId="33F82948" w14:textId="77777777">
        <w:trPr>
          <w:cantSplit/>
          <w:jc w:val="center"/>
        </w:trPr>
        <w:tc>
          <w:tcPr>
            <w:tcW w:w="2880" w:type="dxa"/>
            <w:tcBorders>
              <w:bottom w:val="single" w:sz="4" w:space="0" w:color="D3D3D3"/>
            </w:tcBorders>
            <w:tcMar>
              <w:top w:w="100" w:type="dxa"/>
              <w:left w:w="150" w:type="dxa"/>
              <w:bottom w:w="100" w:type="dxa"/>
              <w:right w:w="150" w:type="dxa"/>
            </w:tcMar>
          </w:tcPr>
          <w:p w14:paraId="76480DB6" w14:textId="77777777" w:rsidR="00237D46" w:rsidRDefault="00000000">
            <w:r>
              <w:rPr>
                <w:rFonts w:ascii="Calibri" w:hAnsi="Calibri"/>
                <w:b/>
                <w:sz w:val="21"/>
              </w:rPr>
              <w:t>status</w:t>
            </w:r>
          </w:p>
        </w:tc>
        <w:tc>
          <w:tcPr>
            <w:tcW w:w="6480" w:type="dxa"/>
            <w:tcBorders>
              <w:bottom w:val="single" w:sz="4" w:space="0" w:color="D3D3D3"/>
            </w:tcBorders>
            <w:tcMar>
              <w:top w:w="100" w:type="dxa"/>
              <w:left w:w="150" w:type="dxa"/>
              <w:bottom w:w="100" w:type="dxa"/>
              <w:right w:w="150" w:type="dxa"/>
            </w:tcMar>
          </w:tcPr>
          <w:p w14:paraId="4542EFD9" w14:textId="77777777" w:rsidR="00237D46" w:rsidRDefault="00000000">
            <w:r>
              <w:rPr>
                <w:rFonts w:ascii="Calibri" w:hAnsi="Calibri"/>
                <w:sz w:val="21"/>
              </w:rPr>
              <w:t>Tracks the state of the annotation lifecycle. Progresses through: not_started → draft → submitted.</w:t>
            </w:r>
          </w:p>
        </w:tc>
      </w:tr>
      <w:tr w:rsidR="00237D46" w14:paraId="50357D40" w14:textId="77777777">
        <w:trPr>
          <w:cantSplit/>
          <w:jc w:val="center"/>
        </w:trPr>
        <w:tc>
          <w:tcPr>
            <w:tcW w:w="2880" w:type="dxa"/>
            <w:tcBorders>
              <w:bottom w:val="single" w:sz="4" w:space="0" w:color="D3D3D3"/>
            </w:tcBorders>
            <w:shd w:val="clear" w:color="auto" w:fill="F2F4F7"/>
            <w:tcMar>
              <w:top w:w="100" w:type="dxa"/>
              <w:left w:w="150" w:type="dxa"/>
              <w:bottom w:w="100" w:type="dxa"/>
              <w:right w:w="150" w:type="dxa"/>
            </w:tcMar>
          </w:tcPr>
          <w:p w14:paraId="525473A4" w14:textId="77777777" w:rsidR="00237D46" w:rsidRDefault="00000000">
            <w:r>
              <w:rPr>
                <w:rFonts w:ascii="Calibri" w:hAnsi="Calibri"/>
                <w:b/>
                <w:sz w:val="21"/>
              </w:rPr>
              <w:t>noteVersionHash</w:t>
            </w:r>
          </w:p>
        </w:tc>
        <w:tc>
          <w:tcPr>
            <w:tcW w:w="6480" w:type="dxa"/>
            <w:tcBorders>
              <w:bottom w:val="single" w:sz="4" w:space="0" w:color="D3D3D3"/>
            </w:tcBorders>
            <w:shd w:val="clear" w:color="auto" w:fill="F2F4F7"/>
            <w:tcMar>
              <w:top w:w="100" w:type="dxa"/>
              <w:left w:w="150" w:type="dxa"/>
              <w:bottom w:w="100" w:type="dxa"/>
              <w:right w:w="150" w:type="dxa"/>
            </w:tcMar>
          </w:tcPr>
          <w:p w14:paraId="0CE5352B" w14:textId="77777777" w:rsidR="00237D46" w:rsidRDefault="00000000">
            <w:r>
              <w:rPr>
                <w:rFonts w:ascii="Calibri" w:hAnsi="Calibri"/>
                <w:sz w:val="21"/>
              </w:rPr>
              <w:t>A cryptographic hash that locks character offsets to a specific text version of the patient notes, ensuring highlighted text remains accurate.</w:t>
            </w:r>
          </w:p>
        </w:tc>
      </w:tr>
      <w:tr w:rsidR="00237D46" w14:paraId="6CB390BE" w14:textId="77777777">
        <w:trPr>
          <w:cantSplit/>
          <w:jc w:val="center"/>
        </w:trPr>
        <w:tc>
          <w:tcPr>
            <w:tcW w:w="2880" w:type="dxa"/>
            <w:tcBorders>
              <w:bottom w:val="single" w:sz="4" w:space="0" w:color="D3D3D3"/>
            </w:tcBorders>
            <w:tcMar>
              <w:top w:w="100" w:type="dxa"/>
              <w:left w:w="150" w:type="dxa"/>
              <w:bottom w:w="100" w:type="dxa"/>
              <w:right w:w="150" w:type="dxa"/>
            </w:tcMar>
          </w:tcPr>
          <w:p w14:paraId="2F12D6CB" w14:textId="77777777" w:rsidR="00237D46" w:rsidRDefault="00000000">
            <w:r>
              <w:rPr>
                <w:rFonts w:ascii="Calibri" w:hAnsi="Calibri"/>
                <w:b/>
                <w:sz w:val="21"/>
              </w:rPr>
              <w:t>caseClinicalSummary</w:t>
            </w:r>
          </w:p>
        </w:tc>
        <w:tc>
          <w:tcPr>
            <w:tcW w:w="6480" w:type="dxa"/>
            <w:tcBorders>
              <w:bottom w:val="single" w:sz="4" w:space="0" w:color="D3D3D3"/>
            </w:tcBorders>
            <w:tcMar>
              <w:top w:w="100" w:type="dxa"/>
              <w:left w:w="150" w:type="dxa"/>
              <w:bottom w:w="100" w:type="dxa"/>
              <w:right w:w="150" w:type="dxa"/>
            </w:tcMar>
          </w:tcPr>
          <w:p w14:paraId="00C6FBB9" w14:textId="77777777" w:rsidR="00237D46" w:rsidRDefault="00000000">
            <w:r>
              <w:rPr>
                <w:rFonts w:ascii="Calibri" w:hAnsi="Calibri"/>
                <w:sz w:val="21"/>
              </w:rPr>
              <w:t>Maps to the Case Setup Panel located in the right sidebar under the 'Setup' tab.</w:t>
            </w:r>
          </w:p>
        </w:tc>
      </w:tr>
      <w:tr w:rsidR="00237D46" w14:paraId="6CC1EC7F" w14:textId="77777777">
        <w:trPr>
          <w:cantSplit/>
          <w:jc w:val="center"/>
        </w:trPr>
        <w:tc>
          <w:tcPr>
            <w:tcW w:w="2880" w:type="dxa"/>
            <w:tcBorders>
              <w:bottom w:val="single" w:sz="4" w:space="0" w:color="D3D3D3"/>
            </w:tcBorders>
            <w:shd w:val="clear" w:color="auto" w:fill="F2F4F7"/>
            <w:tcMar>
              <w:top w:w="100" w:type="dxa"/>
              <w:left w:w="150" w:type="dxa"/>
              <w:bottom w:w="100" w:type="dxa"/>
              <w:right w:w="150" w:type="dxa"/>
            </w:tcMar>
          </w:tcPr>
          <w:p w14:paraId="3FC4AD21" w14:textId="77777777" w:rsidR="00237D46" w:rsidRDefault="00000000">
            <w:r>
              <w:rPr>
                <w:rFonts w:ascii="Calibri" w:hAnsi="Calibri"/>
                <w:b/>
                <w:sz w:val="21"/>
              </w:rPr>
              <w:t>evidenceGroups</w:t>
            </w:r>
          </w:p>
        </w:tc>
        <w:tc>
          <w:tcPr>
            <w:tcW w:w="6480" w:type="dxa"/>
            <w:tcBorders>
              <w:bottom w:val="single" w:sz="4" w:space="0" w:color="D3D3D3"/>
            </w:tcBorders>
            <w:shd w:val="clear" w:color="auto" w:fill="F2F4F7"/>
            <w:tcMar>
              <w:top w:w="100" w:type="dxa"/>
              <w:left w:w="150" w:type="dxa"/>
              <w:bottom w:w="100" w:type="dxa"/>
              <w:right w:w="150" w:type="dxa"/>
            </w:tcMar>
          </w:tcPr>
          <w:p w14:paraId="7732A3C6" w14:textId="77777777" w:rsidR="00237D46" w:rsidRDefault="00000000">
            <w:r>
              <w:rPr>
                <w:rFonts w:ascii="Calibri" w:hAnsi="Calibri"/>
                <w:sz w:val="21"/>
              </w:rPr>
              <w:t>Represents the active and in-progress factor cards located in the right sidebar under the 'Factors' tab.</w:t>
            </w:r>
          </w:p>
        </w:tc>
      </w:tr>
      <w:tr w:rsidR="00237D46" w14:paraId="58B5447B" w14:textId="77777777">
        <w:trPr>
          <w:cantSplit/>
          <w:jc w:val="center"/>
        </w:trPr>
        <w:tc>
          <w:tcPr>
            <w:tcW w:w="2880" w:type="dxa"/>
            <w:tcBorders>
              <w:bottom w:val="single" w:sz="4" w:space="0" w:color="D3D3D3"/>
            </w:tcBorders>
            <w:tcMar>
              <w:top w:w="100" w:type="dxa"/>
              <w:left w:w="150" w:type="dxa"/>
              <w:bottom w:w="100" w:type="dxa"/>
              <w:right w:w="150" w:type="dxa"/>
            </w:tcMar>
          </w:tcPr>
          <w:p w14:paraId="669AB0DB" w14:textId="77777777" w:rsidR="00237D46" w:rsidRDefault="00000000">
            <w:r>
              <w:rPr>
                <w:rFonts w:ascii="Calibri" w:hAnsi="Calibri"/>
                <w:b/>
                <w:sz w:val="21"/>
              </w:rPr>
              <w:lastRenderedPageBreak/>
              <w:t>evidenceSpans</w:t>
            </w:r>
          </w:p>
        </w:tc>
        <w:tc>
          <w:tcPr>
            <w:tcW w:w="6480" w:type="dxa"/>
            <w:tcBorders>
              <w:bottom w:val="single" w:sz="4" w:space="0" w:color="D3D3D3"/>
            </w:tcBorders>
            <w:tcMar>
              <w:top w:w="100" w:type="dxa"/>
              <w:left w:w="150" w:type="dxa"/>
              <w:bottom w:w="100" w:type="dxa"/>
              <w:right w:w="150" w:type="dxa"/>
            </w:tcMar>
          </w:tcPr>
          <w:p w14:paraId="577FB0FA" w14:textId="77777777" w:rsidR="00237D46" w:rsidRDefault="00000000">
            <w:r>
              <w:rPr>
                <w:rFonts w:ascii="Calibri" w:hAnsi="Calibri"/>
                <w:sz w:val="21"/>
              </w:rPr>
              <w:t>Stores the specific text selections and colored highlights applied within the Index or Readmission clinical note viewers.</w:t>
            </w:r>
          </w:p>
        </w:tc>
      </w:tr>
      <w:tr w:rsidR="00237D46" w14:paraId="0BBA813F" w14:textId="77777777">
        <w:trPr>
          <w:cantSplit/>
          <w:jc w:val="center"/>
        </w:trPr>
        <w:tc>
          <w:tcPr>
            <w:tcW w:w="2880" w:type="dxa"/>
            <w:tcBorders>
              <w:bottom w:val="single" w:sz="4" w:space="0" w:color="D3D3D3"/>
            </w:tcBorders>
            <w:shd w:val="clear" w:color="auto" w:fill="F2F4F7"/>
            <w:tcMar>
              <w:top w:w="100" w:type="dxa"/>
              <w:left w:w="150" w:type="dxa"/>
              <w:bottom w:w="100" w:type="dxa"/>
              <w:right w:w="150" w:type="dxa"/>
            </w:tcMar>
          </w:tcPr>
          <w:p w14:paraId="3D10FE79" w14:textId="77777777" w:rsidR="00237D46" w:rsidRDefault="00000000">
            <w:r>
              <w:rPr>
                <w:rFonts w:ascii="Calibri" w:hAnsi="Calibri"/>
                <w:b/>
                <w:sz w:val="21"/>
              </w:rPr>
              <w:t>factors</w:t>
            </w:r>
          </w:p>
        </w:tc>
        <w:tc>
          <w:tcPr>
            <w:tcW w:w="6480" w:type="dxa"/>
            <w:tcBorders>
              <w:bottom w:val="single" w:sz="4" w:space="0" w:color="D3D3D3"/>
            </w:tcBorders>
            <w:shd w:val="clear" w:color="auto" w:fill="F2F4F7"/>
            <w:tcMar>
              <w:top w:w="100" w:type="dxa"/>
              <w:left w:w="150" w:type="dxa"/>
              <w:bottom w:w="100" w:type="dxa"/>
              <w:right w:w="150" w:type="dxa"/>
            </w:tcMar>
          </w:tcPr>
          <w:p w14:paraId="4FFF2EFD" w14:textId="77777777" w:rsidR="00237D46" w:rsidRDefault="00000000">
            <w:r>
              <w:rPr>
                <w:rFonts w:ascii="Calibri" w:hAnsi="Calibri"/>
                <w:sz w:val="21"/>
              </w:rPr>
              <w:t>Contains finalized factor metadata, populated only when the clinician clicks the 'Save &amp; complete factor' action on a factor card.</w:t>
            </w:r>
          </w:p>
        </w:tc>
      </w:tr>
      <w:tr w:rsidR="00237D46" w14:paraId="62FEF0A0" w14:textId="77777777">
        <w:trPr>
          <w:cantSplit/>
          <w:jc w:val="center"/>
        </w:trPr>
        <w:tc>
          <w:tcPr>
            <w:tcW w:w="2880" w:type="dxa"/>
            <w:tcBorders>
              <w:bottom w:val="single" w:sz="4" w:space="0" w:color="D3D3D3"/>
            </w:tcBorders>
            <w:tcMar>
              <w:top w:w="100" w:type="dxa"/>
              <w:left w:w="150" w:type="dxa"/>
              <w:bottom w:w="100" w:type="dxa"/>
              <w:right w:w="150" w:type="dxa"/>
            </w:tcMar>
          </w:tcPr>
          <w:p w14:paraId="0CFCFF7E" w14:textId="77777777" w:rsidR="00237D46" w:rsidRDefault="00000000">
            <w:r>
              <w:rPr>
                <w:rFonts w:ascii="Calibri" w:hAnsi="Calibri"/>
                <w:b/>
                <w:sz w:val="21"/>
              </w:rPr>
              <w:t>createdAt</w:t>
            </w:r>
          </w:p>
        </w:tc>
        <w:tc>
          <w:tcPr>
            <w:tcW w:w="6480" w:type="dxa"/>
            <w:tcBorders>
              <w:bottom w:val="single" w:sz="4" w:space="0" w:color="D3D3D3"/>
            </w:tcBorders>
            <w:tcMar>
              <w:top w:w="100" w:type="dxa"/>
              <w:left w:w="150" w:type="dxa"/>
              <w:bottom w:w="100" w:type="dxa"/>
              <w:right w:w="150" w:type="dxa"/>
            </w:tcMar>
          </w:tcPr>
          <w:p w14:paraId="60E241B0" w14:textId="77777777" w:rsidR="00237D46" w:rsidRDefault="00000000">
            <w:r>
              <w:rPr>
                <w:rFonts w:ascii="Calibri" w:hAnsi="Calibri"/>
                <w:sz w:val="21"/>
              </w:rPr>
              <w:t>Timestamp indicating when the annotation row was first created.</w:t>
            </w:r>
          </w:p>
        </w:tc>
      </w:tr>
      <w:tr w:rsidR="00237D46" w14:paraId="28CFFB71" w14:textId="77777777">
        <w:trPr>
          <w:cantSplit/>
          <w:jc w:val="center"/>
        </w:trPr>
        <w:tc>
          <w:tcPr>
            <w:tcW w:w="2880" w:type="dxa"/>
            <w:tcBorders>
              <w:bottom w:val="single" w:sz="4" w:space="0" w:color="D3D3D3"/>
            </w:tcBorders>
            <w:shd w:val="clear" w:color="auto" w:fill="F2F4F7"/>
            <w:tcMar>
              <w:top w:w="100" w:type="dxa"/>
              <w:left w:w="150" w:type="dxa"/>
              <w:bottom w:w="100" w:type="dxa"/>
              <w:right w:w="150" w:type="dxa"/>
            </w:tcMar>
          </w:tcPr>
          <w:p w14:paraId="69621558" w14:textId="77777777" w:rsidR="00237D46" w:rsidRDefault="00000000">
            <w:r>
              <w:rPr>
                <w:rFonts w:ascii="Calibri" w:hAnsi="Calibri"/>
                <w:b/>
                <w:sz w:val="21"/>
              </w:rPr>
              <w:t>updatedAt</w:t>
            </w:r>
          </w:p>
        </w:tc>
        <w:tc>
          <w:tcPr>
            <w:tcW w:w="6480" w:type="dxa"/>
            <w:tcBorders>
              <w:bottom w:val="single" w:sz="4" w:space="0" w:color="D3D3D3"/>
            </w:tcBorders>
            <w:shd w:val="clear" w:color="auto" w:fill="F2F4F7"/>
            <w:tcMar>
              <w:top w:w="100" w:type="dxa"/>
              <w:left w:w="150" w:type="dxa"/>
              <w:bottom w:w="100" w:type="dxa"/>
              <w:right w:w="150" w:type="dxa"/>
            </w:tcMar>
          </w:tcPr>
          <w:p w14:paraId="72D9CE65" w14:textId="77777777" w:rsidR="00237D46" w:rsidRDefault="00000000">
            <w:r>
              <w:rPr>
                <w:rFonts w:ascii="Calibri" w:hAnsi="Calibri"/>
                <w:sz w:val="21"/>
              </w:rPr>
              <w:t>Timestamp tracking the last auto-save or submission update.</w:t>
            </w:r>
          </w:p>
        </w:tc>
      </w:tr>
    </w:tbl>
    <w:p w14:paraId="4DEDF68A" w14:textId="77777777" w:rsidR="00237D46" w:rsidRDefault="00000000">
      <w:pPr>
        <w:keepNext/>
        <w:spacing w:before="360" w:after="120"/>
      </w:pPr>
      <w:r>
        <w:rPr>
          <w:rFonts w:ascii="Calibri Light" w:hAnsi="Calibri Light"/>
          <w:b/>
          <w:color w:val="1F4E79"/>
          <w:sz w:val="32"/>
        </w:rPr>
        <w:t>3. Case Clinical Summary Structure</w:t>
      </w:r>
    </w:p>
    <w:p w14:paraId="3D17F9D4" w14:textId="77777777" w:rsidR="00237D46" w:rsidRDefault="00000000">
      <w:pPr>
        <w:spacing w:after="120"/>
      </w:pPr>
      <w:r>
        <w:rPr>
          <w:rFonts w:ascii="Calibri" w:hAnsi="Calibri"/>
          <w:b/>
        </w:rPr>
        <w:t xml:space="preserve">UI Component Location: </w:t>
      </w:r>
      <w:r>
        <w:rPr>
          <w:rFonts w:ascii="Calibri" w:hAnsi="Calibri"/>
        </w:rPr>
        <w:t>The caseClinicalSummary object contains elements filled out by the clinician in the Case Setup Panel (accessible via the Right Sidebar → 'Setup' tab). This panel is implemented via the CaseClinicalSummaryPanel UI component.</w:t>
      </w:r>
    </w:p>
    <w:p w14:paraId="5BD810DB" w14:textId="77777777" w:rsidR="00237D46" w:rsidRDefault="00000000">
      <w:pPr>
        <w:spacing w:after="120"/>
      </w:pPr>
      <w:r>
        <w:rPr>
          <w:rFonts w:ascii="Calibri" w:hAnsi="Calibri"/>
        </w:rPr>
        <w:t>Status chips displayed within the application dashboard (such as 'Dx done', 'Sx done', and 'Conf 4/5') are dynamically derived from the fields defined below.</w:t>
      </w:r>
    </w:p>
    <w:tbl>
      <w:tblPr>
        <w:tblW w:w="0" w:type="auto"/>
        <w:jc w:val="center"/>
        <w:tblLook w:val="04A0" w:firstRow="1" w:lastRow="0" w:firstColumn="1" w:lastColumn="0" w:noHBand="0" w:noVBand="1"/>
      </w:tblPr>
      <w:tblGrid>
        <w:gridCol w:w="3146"/>
        <w:gridCol w:w="6214"/>
      </w:tblGrid>
      <w:tr w:rsidR="00237D46" w14:paraId="0E7D2EC5" w14:textId="77777777">
        <w:trPr>
          <w:cantSplit/>
          <w:tblHeader/>
          <w:jc w:val="center"/>
        </w:trPr>
        <w:tc>
          <w:tcPr>
            <w:tcW w:w="2880" w:type="dxa"/>
            <w:shd w:val="clear" w:color="auto" w:fill="1F4E79"/>
            <w:tcMar>
              <w:top w:w="120" w:type="dxa"/>
              <w:left w:w="150" w:type="dxa"/>
              <w:bottom w:w="120" w:type="dxa"/>
              <w:right w:w="150" w:type="dxa"/>
            </w:tcMar>
          </w:tcPr>
          <w:p w14:paraId="0B0B8F68" w14:textId="77777777" w:rsidR="00237D46" w:rsidRDefault="00000000">
            <w:r>
              <w:rPr>
                <w:rFonts w:ascii="Calibri" w:hAnsi="Calibri"/>
                <w:b/>
                <w:color w:val="FFFFFF"/>
              </w:rPr>
              <w:t>Field Name</w:t>
            </w:r>
          </w:p>
        </w:tc>
        <w:tc>
          <w:tcPr>
            <w:tcW w:w="6480" w:type="dxa"/>
            <w:shd w:val="clear" w:color="auto" w:fill="1F4E79"/>
            <w:tcMar>
              <w:top w:w="120" w:type="dxa"/>
              <w:left w:w="150" w:type="dxa"/>
              <w:bottom w:w="120" w:type="dxa"/>
              <w:right w:w="150" w:type="dxa"/>
            </w:tcMar>
          </w:tcPr>
          <w:p w14:paraId="55894732" w14:textId="77777777" w:rsidR="00237D46" w:rsidRDefault="00000000">
            <w:r>
              <w:rPr>
                <w:rFonts w:ascii="Calibri" w:hAnsi="Calibri"/>
                <w:b/>
                <w:color w:val="FFFFFF"/>
              </w:rPr>
              <w:t>UI Mapping &amp; Functional Meaning</w:t>
            </w:r>
          </w:p>
        </w:tc>
      </w:tr>
      <w:tr w:rsidR="00237D46" w14:paraId="4D97E29A" w14:textId="77777777">
        <w:trPr>
          <w:cantSplit/>
          <w:jc w:val="center"/>
        </w:trPr>
        <w:tc>
          <w:tcPr>
            <w:tcW w:w="2880" w:type="dxa"/>
            <w:tcBorders>
              <w:bottom w:val="single" w:sz="4" w:space="0" w:color="D3D3D3"/>
            </w:tcBorders>
            <w:tcMar>
              <w:top w:w="100" w:type="dxa"/>
              <w:left w:w="150" w:type="dxa"/>
              <w:bottom w:w="100" w:type="dxa"/>
              <w:right w:w="150" w:type="dxa"/>
            </w:tcMar>
          </w:tcPr>
          <w:p w14:paraId="7377FABA" w14:textId="77777777" w:rsidR="00237D46" w:rsidRDefault="00000000">
            <w:r>
              <w:rPr>
                <w:rFonts w:ascii="Calibri" w:hAnsi="Calibri"/>
                <w:b/>
                <w:sz w:val="21"/>
              </w:rPr>
              <w:t>readmissionDiagnoses</w:t>
            </w:r>
          </w:p>
        </w:tc>
        <w:tc>
          <w:tcPr>
            <w:tcW w:w="6480" w:type="dxa"/>
            <w:tcBorders>
              <w:bottom w:val="single" w:sz="4" w:space="0" w:color="D3D3D3"/>
            </w:tcBorders>
            <w:tcMar>
              <w:top w:w="100" w:type="dxa"/>
              <w:left w:w="150" w:type="dxa"/>
              <w:bottom w:w="100" w:type="dxa"/>
              <w:right w:w="150" w:type="dxa"/>
            </w:tcMar>
          </w:tcPr>
          <w:p w14:paraId="5CDAB67E" w14:textId="77777777" w:rsidR="00237D46" w:rsidRDefault="00000000">
            <w:r>
              <w:rPr>
                <w:rFonts w:ascii="Calibri" w:hAnsi="Calibri"/>
                <w:sz w:val="21"/>
              </w:rPr>
              <w:t>A free-text field capturing primary or relevant readmission diagnoses as comma-separated text values.</w:t>
            </w:r>
          </w:p>
        </w:tc>
      </w:tr>
      <w:tr w:rsidR="00237D46" w14:paraId="4053BC00" w14:textId="77777777">
        <w:trPr>
          <w:cantSplit/>
          <w:jc w:val="center"/>
        </w:trPr>
        <w:tc>
          <w:tcPr>
            <w:tcW w:w="2880" w:type="dxa"/>
            <w:tcBorders>
              <w:bottom w:val="single" w:sz="4" w:space="0" w:color="D3D3D3"/>
            </w:tcBorders>
            <w:shd w:val="clear" w:color="auto" w:fill="F2F4F7"/>
            <w:tcMar>
              <w:top w:w="100" w:type="dxa"/>
              <w:left w:w="150" w:type="dxa"/>
              <w:bottom w:w="100" w:type="dxa"/>
              <w:right w:w="150" w:type="dxa"/>
            </w:tcMar>
          </w:tcPr>
          <w:p w14:paraId="56DD1E30" w14:textId="77777777" w:rsidR="00237D46" w:rsidRDefault="00000000">
            <w:r>
              <w:rPr>
                <w:rFonts w:ascii="Calibri" w:hAnsi="Calibri"/>
                <w:b/>
                <w:sz w:val="21"/>
              </w:rPr>
              <w:t>readmissionDiagnosesUncertain</w:t>
            </w:r>
          </w:p>
        </w:tc>
        <w:tc>
          <w:tcPr>
            <w:tcW w:w="6480" w:type="dxa"/>
            <w:tcBorders>
              <w:bottom w:val="single" w:sz="4" w:space="0" w:color="D3D3D3"/>
            </w:tcBorders>
            <w:shd w:val="clear" w:color="auto" w:fill="F2F4F7"/>
            <w:tcMar>
              <w:top w:w="100" w:type="dxa"/>
              <w:left w:w="150" w:type="dxa"/>
              <w:bottom w:w="100" w:type="dxa"/>
              <w:right w:w="150" w:type="dxa"/>
            </w:tcMar>
          </w:tcPr>
          <w:p w14:paraId="7BDBF505" w14:textId="77777777" w:rsidR="00237D46" w:rsidRDefault="00000000">
            <w:r>
              <w:rPr>
                <w:rFonts w:ascii="Calibri" w:hAnsi="Calibri"/>
                <w:sz w:val="21"/>
              </w:rPr>
              <w:t>A boolean toggle flag indicating whether the clinician is uncertain about the documented readmission diagnoses (True = Uncertain, False = Certain).</w:t>
            </w:r>
          </w:p>
        </w:tc>
      </w:tr>
      <w:tr w:rsidR="00237D46" w14:paraId="7CC1EB1C" w14:textId="77777777">
        <w:trPr>
          <w:cantSplit/>
          <w:jc w:val="center"/>
        </w:trPr>
        <w:tc>
          <w:tcPr>
            <w:tcW w:w="2880" w:type="dxa"/>
            <w:tcBorders>
              <w:bottom w:val="single" w:sz="4" w:space="0" w:color="D3D3D3"/>
            </w:tcBorders>
            <w:tcMar>
              <w:top w:w="100" w:type="dxa"/>
              <w:left w:w="150" w:type="dxa"/>
              <w:bottom w:w="100" w:type="dxa"/>
              <w:right w:w="150" w:type="dxa"/>
            </w:tcMar>
          </w:tcPr>
          <w:p w14:paraId="67601727" w14:textId="77777777" w:rsidR="00237D46" w:rsidRDefault="00000000">
            <w:r>
              <w:rPr>
                <w:rFonts w:ascii="Calibri" w:hAnsi="Calibri"/>
                <w:b/>
                <w:sz w:val="21"/>
              </w:rPr>
              <w:t>readmissionSymptoms</w:t>
            </w:r>
          </w:p>
        </w:tc>
        <w:tc>
          <w:tcPr>
            <w:tcW w:w="6480" w:type="dxa"/>
            <w:tcBorders>
              <w:bottom w:val="single" w:sz="4" w:space="0" w:color="D3D3D3"/>
            </w:tcBorders>
            <w:tcMar>
              <w:top w:w="100" w:type="dxa"/>
              <w:left w:w="150" w:type="dxa"/>
              <w:bottom w:w="100" w:type="dxa"/>
              <w:right w:w="150" w:type="dxa"/>
            </w:tcMar>
          </w:tcPr>
          <w:p w14:paraId="6C65141F" w14:textId="77777777" w:rsidR="00237D46" w:rsidRDefault="00000000">
            <w:r>
              <w:rPr>
                <w:rFonts w:ascii="Calibri" w:hAnsi="Calibri"/>
                <w:sz w:val="21"/>
              </w:rPr>
              <w:t>A free-text field capturing relevant symptoms leading to readmission, formatted as comma-separated text values.</w:t>
            </w:r>
          </w:p>
        </w:tc>
      </w:tr>
      <w:tr w:rsidR="00237D46" w14:paraId="7C48F125" w14:textId="77777777">
        <w:trPr>
          <w:cantSplit/>
          <w:jc w:val="center"/>
        </w:trPr>
        <w:tc>
          <w:tcPr>
            <w:tcW w:w="2880" w:type="dxa"/>
            <w:tcBorders>
              <w:bottom w:val="single" w:sz="4" w:space="0" w:color="D3D3D3"/>
            </w:tcBorders>
            <w:shd w:val="clear" w:color="auto" w:fill="F2F4F7"/>
            <w:tcMar>
              <w:top w:w="100" w:type="dxa"/>
              <w:left w:w="150" w:type="dxa"/>
              <w:bottom w:w="100" w:type="dxa"/>
              <w:right w:w="150" w:type="dxa"/>
            </w:tcMar>
          </w:tcPr>
          <w:p w14:paraId="36658922" w14:textId="77777777" w:rsidR="00237D46" w:rsidRDefault="00000000">
            <w:r>
              <w:rPr>
                <w:rFonts w:ascii="Calibri" w:hAnsi="Calibri"/>
                <w:b/>
                <w:sz w:val="21"/>
              </w:rPr>
              <w:t>readmissionSymptomsUncertain</w:t>
            </w:r>
          </w:p>
        </w:tc>
        <w:tc>
          <w:tcPr>
            <w:tcW w:w="6480" w:type="dxa"/>
            <w:tcBorders>
              <w:bottom w:val="single" w:sz="4" w:space="0" w:color="D3D3D3"/>
            </w:tcBorders>
            <w:shd w:val="clear" w:color="auto" w:fill="F2F4F7"/>
            <w:tcMar>
              <w:top w:w="100" w:type="dxa"/>
              <w:left w:w="150" w:type="dxa"/>
              <w:bottom w:w="100" w:type="dxa"/>
              <w:right w:w="150" w:type="dxa"/>
            </w:tcMar>
          </w:tcPr>
          <w:p w14:paraId="704AAFD8" w14:textId="77777777" w:rsidR="00237D46" w:rsidRDefault="00000000">
            <w:r>
              <w:rPr>
                <w:rFonts w:ascii="Calibri" w:hAnsi="Calibri"/>
                <w:sz w:val="21"/>
              </w:rPr>
              <w:t>A boolean toggle flag indicating whether the clinician is uncertain about the documented symptoms (True = Uncertain, False = Certain).</w:t>
            </w:r>
          </w:p>
        </w:tc>
      </w:tr>
      <w:tr w:rsidR="00237D46" w14:paraId="6A190269" w14:textId="77777777">
        <w:trPr>
          <w:cantSplit/>
          <w:jc w:val="center"/>
        </w:trPr>
        <w:tc>
          <w:tcPr>
            <w:tcW w:w="2880" w:type="dxa"/>
            <w:tcBorders>
              <w:bottom w:val="single" w:sz="4" w:space="0" w:color="D3D3D3"/>
            </w:tcBorders>
            <w:tcMar>
              <w:top w:w="100" w:type="dxa"/>
              <w:left w:w="150" w:type="dxa"/>
              <w:bottom w:w="100" w:type="dxa"/>
              <w:right w:w="150" w:type="dxa"/>
            </w:tcMar>
          </w:tcPr>
          <w:p w14:paraId="15580610" w14:textId="77777777" w:rsidR="00237D46" w:rsidRDefault="00000000">
            <w:r>
              <w:rPr>
                <w:rFonts w:ascii="Calibri" w:hAnsi="Calibri"/>
                <w:b/>
                <w:sz w:val="21"/>
              </w:rPr>
              <w:lastRenderedPageBreak/>
              <w:t>overallConfidence</w:t>
            </w:r>
          </w:p>
        </w:tc>
        <w:tc>
          <w:tcPr>
            <w:tcW w:w="6480" w:type="dxa"/>
            <w:tcBorders>
              <w:bottom w:val="single" w:sz="4" w:space="0" w:color="D3D3D3"/>
            </w:tcBorders>
            <w:tcMar>
              <w:top w:w="100" w:type="dxa"/>
              <w:left w:w="150" w:type="dxa"/>
              <w:bottom w:w="100" w:type="dxa"/>
              <w:right w:w="150" w:type="dxa"/>
            </w:tcMar>
          </w:tcPr>
          <w:p w14:paraId="6CED63C2" w14:textId="77777777" w:rsidR="00237D46" w:rsidRDefault="00000000">
            <w:r>
              <w:rPr>
                <w:rFonts w:ascii="Calibri" w:hAnsi="Calibri"/>
                <w:sz w:val="21"/>
              </w:rPr>
              <w:t>An integer-based 1 to 5 Likert scale representing the clinician's answer to the prompt: 'How confident are you in the diagnoses and symptoms above?' Values range from low (1) to high (5), or null if unanswered.</w:t>
            </w:r>
          </w:p>
        </w:tc>
      </w:tr>
    </w:tbl>
    <w:p w14:paraId="5C7E5693" w14:textId="77777777" w:rsidR="00237D46" w:rsidRDefault="00000000">
      <w:pPr>
        <w:keepNext/>
        <w:spacing w:before="360" w:after="120"/>
      </w:pPr>
      <w:r>
        <w:rPr>
          <w:rFonts w:ascii="Calibri Light" w:hAnsi="Calibri Light"/>
          <w:b/>
          <w:color w:val="1F4E79"/>
          <w:sz w:val="32"/>
        </w:rPr>
        <w:t>4. Evidence Groups Structure</w:t>
      </w:r>
    </w:p>
    <w:p w14:paraId="75CC3CD6" w14:textId="77777777" w:rsidR="00237D46" w:rsidRDefault="00000000">
      <w:pPr>
        <w:spacing w:after="120"/>
      </w:pPr>
      <w:r>
        <w:rPr>
          <w:rFonts w:ascii="Calibri" w:hAnsi="Calibri"/>
          <w:b/>
        </w:rPr>
        <w:t xml:space="preserve">UI Component Location: </w:t>
      </w:r>
      <w:r>
        <w:rPr>
          <w:rFonts w:ascii="Calibri" w:hAnsi="Calibri"/>
        </w:rPr>
        <w:t>The evidenceGroups array contains records for each discrete clinical factor that a clinician is actively evaluating or has completed. In the user interface, these appear as interactive Factor Cards within the Right Sidebar's 'Factors' tab. When a case is initiated, it begins with a single preset group labeled 'Factor 1' styled in amber.</w:t>
      </w:r>
    </w:p>
    <w:p w14:paraId="3746CC1D" w14:textId="77777777" w:rsidR="00237D46" w:rsidRDefault="00000000">
      <w:pPr>
        <w:spacing w:after="120"/>
      </w:pPr>
      <w:r>
        <w:rPr>
          <w:rFonts w:ascii="Calibri" w:hAnsi="Calibri"/>
        </w:rPr>
        <w:t>An 'Active Factor' refers to the currently selected card in the sidebar. When text is highlighted in the note viewer and saved as a factor highlight, a text span is automatically created and tied to that group's unique identifier and color scheme.</w:t>
      </w:r>
    </w:p>
    <w:tbl>
      <w:tblPr>
        <w:tblW w:w="0" w:type="auto"/>
        <w:jc w:val="center"/>
        <w:tblLook w:val="04A0" w:firstRow="1" w:lastRow="0" w:firstColumn="1" w:lastColumn="0" w:noHBand="0" w:noVBand="1"/>
      </w:tblPr>
      <w:tblGrid>
        <w:gridCol w:w="2880"/>
        <w:gridCol w:w="6480"/>
      </w:tblGrid>
      <w:tr w:rsidR="00237D46" w14:paraId="6BBE7AF5" w14:textId="77777777">
        <w:trPr>
          <w:cantSplit/>
          <w:tblHeader/>
          <w:jc w:val="center"/>
        </w:trPr>
        <w:tc>
          <w:tcPr>
            <w:tcW w:w="2880" w:type="dxa"/>
            <w:shd w:val="clear" w:color="auto" w:fill="1F4E79"/>
            <w:tcMar>
              <w:top w:w="120" w:type="dxa"/>
              <w:left w:w="150" w:type="dxa"/>
              <w:bottom w:w="120" w:type="dxa"/>
              <w:right w:w="150" w:type="dxa"/>
            </w:tcMar>
          </w:tcPr>
          <w:p w14:paraId="32113D71" w14:textId="77777777" w:rsidR="00237D46" w:rsidRDefault="00000000">
            <w:r>
              <w:rPr>
                <w:rFonts w:ascii="Calibri" w:hAnsi="Calibri"/>
                <w:b/>
                <w:color w:val="FFFFFF"/>
              </w:rPr>
              <w:t>Field Name</w:t>
            </w:r>
          </w:p>
        </w:tc>
        <w:tc>
          <w:tcPr>
            <w:tcW w:w="6480" w:type="dxa"/>
            <w:shd w:val="clear" w:color="auto" w:fill="1F4E79"/>
            <w:tcMar>
              <w:top w:w="120" w:type="dxa"/>
              <w:left w:w="150" w:type="dxa"/>
              <w:bottom w:w="120" w:type="dxa"/>
              <w:right w:w="150" w:type="dxa"/>
            </w:tcMar>
          </w:tcPr>
          <w:p w14:paraId="5A6EE7C6" w14:textId="77777777" w:rsidR="00237D46" w:rsidRDefault="00000000">
            <w:r>
              <w:rPr>
                <w:rFonts w:ascii="Calibri" w:hAnsi="Calibri"/>
                <w:b/>
                <w:color w:val="FFFFFF"/>
              </w:rPr>
              <w:t>UI Mapping &amp; Functional Meaning</w:t>
            </w:r>
          </w:p>
        </w:tc>
      </w:tr>
      <w:tr w:rsidR="00237D46" w14:paraId="27EEB2C4" w14:textId="77777777">
        <w:trPr>
          <w:cantSplit/>
          <w:jc w:val="center"/>
        </w:trPr>
        <w:tc>
          <w:tcPr>
            <w:tcW w:w="2880" w:type="dxa"/>
            <w:tcBorders>
              <w:bottom w:val="single" w:sz="4" w:space="0" w:color="D3D3D3"/>
            </w:tcBorders>
            <w:tcMar>
              <w:top w:w="100" w:type="dxa"/>
              <w:left w:w="150" w:type="dxa"/>
              <w:bottom w:w="100" w:type="dxa"/>
              <w:right w:w="150" w:type="dxa"/>
            </w:tcMar>
          </w:tcPr>
          <w:p w14:paraId="057FF5A7" w14:textId="77777777" w:rsidR="00237D46" w:rsidRDefault="00000000">
            <w:r>
              <w:rPr>
                <w:rFonts w:ascii="Calibri" w:hAnsi="Calibri"/>
                <w:b/>
                <w:sz w:val="21"/>
              </w:rPr>
              <w:t>id</w:t>
            </w:r>
          </w:p>
        </w:tc>
        <w:tc>
          <w:tcPr>
            <w:tcW w:w="6480" w:type="dxa"/>
            <w:tcBorders>
              <w:bottom w:val="single" w:sz="4" w:space="0" w:color="D3D3D3"/>
            </w:tcBorders>
            <w:tcMar>
              <w:top w:w="100" w:type="dxa"/>
              <w:left w:w="150" w:type="dxa"/>
              <w:bottom w:w="100" w:type="dxa"/>
              <w:right w:w="150" w:type="dxa"/>
            </w:tcMar>
          </w:tcPr>
          <w:p w14:paraId="18FFC9D5" w14:textId="77777777" w:rsidR="00237D46" w:rsidRDefault="00000000">
            <w:r>
              <w:rPr>
                <w:rFonts w:ascii="Calibri" w:hAnsi="Calibri"/>
                <w:sz w:val="21"/>
              </w:rPr>
              <w:t>The internal unique identifier for the evidence group. This key is used to map text highlights (evidenceSpans) back to this specific factor card.</w:t>
            </w:r>
          </w:p>
        </w:tc>
      </w:tr>
      <w:tr w:rsidR="00237D46" w14:paraId="6FACDF3A" w14:textId="77777777">
        <w:trPr>
          <w:cantSplit/>
          <w:jc w:val="center"/>
        </w:trPr>
        <w:tc>
          <w:tcPr>
            <w:tcW w:w="2880" w:type="dxa"/>
            <w:tcBorders>
              <w:bottom w:val="single" w:sz="4" w:space="0" w:color="D3D3D3"/>
            </w:tcBorders>
            <w:shd w:val="clear" w:color="auto" w:fill="F2F4F7"/>
            <w:tcMar>
              <w:top w:w="100" w:type="dxa"/>
              <w:left w:w="150" w:type="dxa"/>
              <w:bottom w:w="100" w:type="dxa"/>
              <w:right w:w="150" w:type="dxa"/>
            </w:tcMar>
          </w:tcPr>
          <w:p w14:paraId="0B4CE080" w14:textId="77777777" w:rsidR="00237D46" w:rsidRDefault="00000000">
            <w:r>
              <w:rPr>
                <w:rFonts w:ascii="Calibri" w:hAnsi="Calibri"/>
                <w:b/>
                <w:sz w:val="21"/>
              </w:rPr>
              <w:t>label</w:t>
            </w:r>
          </w:p>
        </w:tc>
        <w:tc>
          <w:tcPr>
            <w:tcW w:w="6480" w:type="dxa"/>
            <w:tcBorders>
              <w:bottom w:val="single" w:sz="4" w:space="0" w:color="D3D3D3"/>
            </w:tcBorders>
            <w:shd w:val="clear" w:color="auto" w:fill="F2F4F7"/>
            <w:tcMar>
              <w:top w:w="100" w:type="dxa"/>
              <w:left w:w="150" w:type="dxa"/>
              <w:bottom w:w="100" w:type="dxa"/>
              <w:right w:w="150" w:type="dxa"/>
            </w:tcMar>
          </w:tcPr>
          <w:p w14:paraId="1F4D3311" w14:textId="77777777" w:rsidR="00237D46" w:rsidRDefault="00000000">
            <w:r>
              <w:rPr>
                <w:rFonts w:ascii="Calibri" w:hAnsi="Calibri"/>
                <w:sz w:val="21"/>
              </w:rPr>
              <w:t>The user-editable factor name displayed directly on the card interface. For example, a clinician might rename the default 'Factor 1' text to 'Medication non-adherence'.</w:t>
            </w:r>
          </w:p>
        </w:tc>
      </w:tr>
      <w:tr w:rsidR="00237D46" w14:paraId="4931171C" w14:textId="77777777">
        <w:trPr>
          <w:cantSplit/>
          <w:jc w:val="center"/>
        </w:trPr>
        <w:tc>
          <w:tcPr>
            <w:tcW w:w="2880" w:type="dxa"/>
            <w:tcBorders>
              <w:bottom w:val="single" w:sz="4" w:space="0" w:color="D3D3D3"/>
            </w:tcBorders>
            <w:tcMar>
              <w:top w:w="100" w:type="dxa"/>
              <w:left w:w="150" w:type="dxa"/>
              <w:bottom w:w="100" w:type="dxa"/>
              <w:right w:w="150" w:type="dxa"/>
            </w:tcMar>
          </w:tcPr>
          <w:p w14:paraId="55FC9BEC" w14:textId="77777777" w:rsidR="00237D46" w:rsidRDefault="00000000">
            <w:r>
              <w:rPr>
                <w:rFonts w:ascii="Calibri" w:hAnsi="Calibri"/>
                <w:b/>
                <w:sz w:val="21"/>
              </w:rPr>
              <w:t>color</w:t>
            </w:r>
          </w:p>
        </w:tc>
        <w:tc>
          <w:tcPr>
            <w:tcW w:w="6480" w:type="dxa"/>
            <w:tcBorders>
              <w:bottom w:val="single" w:sz="4" w:space="0" w:color="D3D3D3"/>
            </w:tcBorders>
            <w:tcMar>
              <w:top w:w="100" w:type="dxa"/>
              <w:left w:w="150" w:type="dxa"/>
              <w:bottom w:w="100" w:type="dxa"/>
              <w:right w:w="150" w:type="dxa"/>
            </w:tcMar>
          </w:tcPr>
          <w:p w14:paraId="56F67D48" w14:textId="77777777" w:rsidR="00237D46" w:rsidRDefault="00000000">
            <w:r>
              <w:rPr>
                <w:rFonts w:ascii="Calibri" w:hAnsi="Calibri"/>
                <w:sz w:val="21"/>
              </w:rPr>
              <w:t>The visual highlight color allocated to this factor block in the note viewer. Supported color tokens include: amber, blue, green, violet, and slate.</w:t>
            </w:r>
          </w:p>
        </w:tc>
      </w:tr>
      <w:tr w:rsidR="00237D46" w14:paraId="7DB4FFF3" w14:textId="77777777">
        <w:trPr>
          <w:cantSplit/>
          <w:jc w:val="center"/>
        </w:trPr>
        <w:tc>
          <w:tcPr>
            <w:tcW w:w="2880" w:type="dxa"/>
            <w:tcBorders>
              <w:bottom w:val="single" w:sz="4" w:space="0" w:color="D3D3D3"/>
            </w:tcBorders>
            <w:shd w:val="clear" w:color="auto" w:fill="F2F4F7"/>
            <w:tcMar>
              <w:top w:w="100" w:type="dxa"/>
              <w:left w:w="150" w:type="dxa"/>
              <w:bottom w:w="100" w:type="dxa"/>
              <w:right w:w="150" w:type="dxa"/>
            </w:tcMar>
          </w:tcPr>
          <w:p w14:paraId="7B5072D9" w14:textId="77777777" w:rsidR="00237D46" w:rsidRDefault="00000000">
            <w:r>
              <w:rPr>
                <w:rFonts w:ascii="Calibri" w:hAnsi="Calibri"/>
                <w:b/>
                <w:sz w:val="21"/>
              </w:rPr>
              <w:t>finalizedFactorId</w:t>
            </w:r>
          </w:p>
        </w:tc>
        <w:tc>
          <w:tcPr>
            <w:tcW w:w="6480" w:type="dxa"/>
            <w:tcBorders>
              <w:bottom w:val="single" w:sz="4" w:space="0" w:color="D3D3D3"/>
            </w:tcBorders>
            <w:shd w:val="clear" w:color="auto" w:fill="F2F4F7"/>
            <w:tcMar>
              <w:top w:w="100" w:type="dxa"/>
              <w:left w:w="150" w:type="dxa"/>
              <w:bottom w:w="100" w:type="dxa"/>
              <w:right w:w="150" w:type="dxa"/>
            </w:tcMar>
          </w:tcPr>
          <w:p w14:paraId="5852DB54" w14:textId="77777777" w:rsidR="00237D46" w:rsidRDefault="00000000">
            <w:r>
              <w:rPr>
                <w:rFonts w:ascii="Calibri" w:hAnsi="Calibri"/>
                <w:sz w:val="21"/>
              </w:rPr>
              <w:t>Acts as the state completion flag. Contains a value of 'null' while the card is an in-progress draft. Upon clicking 'Save &amp; complete factor', this field is populated with a string pointing to the corresponding completed entry in the factors[] array.</w:t>
            </w:r>
          </w:p>
        </w:tc>
      </w:tr>
      <w:tr w:rsidR="00237D46" w14:paraId="089E91BF" w14:textId="77777777">
        <w:trPr>
          <w:cantSplit/>
          <w:jc w:val="center"/>
        </w:trPr>
        <w:tc>
          <w:tcPr>
            <w:tcW w:w="2880" w:type="dxa"/>
            <w:tcBorders>
              <w:bottom w:val="single" w:sz="4" w:space="0" w:color="D3D3D3"/>
            </w:tcBorders>
            <w:tcMar>
              <w:top w:w="100" w:type="dxa"/>
              <w:left w:w="150" w:type="dxa"/>
              <w:bottom w:w="100" w:type="dxa"/>
              <w:right w:w="150" w:type="dxa"/>
            </w:tcMar>
          </w:tcPr>
          <w:p w14:paraId="23CC16B3" w14:textId="77777777" w:rsidR="00237D46" w:rsidRDefault="00000000">
            <w:r>
              <w:rPr>
                <w:rFonts w:ascii="Calibri" w:hAnsi="Calibri"/>
                <w:b/>
                <w:sz w:val="21"/>
              </w:rPr>
              <w:t>note</w:t>
            </w:r>
          </w:p>
        </w:tc>
        <w:tc>
          <w:tcPr>
            <w:tcW w:w="6480" w:type="dxa"/>
            <w:tcBorders>
              <w:bottom w:val="single" w:sz="4" w:space="0" w:color="D3D3D3"/>
            </w:tcBorders>
            <w:tcMar>
              <w:top w:w="100" w:type="dxa"/>
              <w:left w:w="150" w:type="dxa"/>
              <w:bottom w:w="100" w:type="dxa"/>
              <w:right w:w="150" w:type="dxa"/>
            </w:tcMar>
          </w:tcPr>
          <w:p w14:paraId="678F8999" w14:textId="77777777" w:rsidR="00237D46" w:rsidRDefault="00000000">
            <w:r>
              <w:rPr>
                <w:rFonts w:ascii="Calibri" w:hAnsi="Calibri"/>
                <w:sz w:val="21"/>
              </w:rPr>
              <w:t>The text description or rationale typed by the clinician while drafting the factor card. On finalization, this text is duplicated into the completed factor record.</w:t>
            </w:r>
          </w:p>
        </w:tc>
      </w:tr>
      <w:tr w:rsidR="00237D46" w14:paraId="1628981C" w14:textId="77777777">
        <w:trPr>
          <w:cantSplit/>
          <w:jc w:val="center"/>
        </w:trPr>
        <w:tc>
          <w:tcPr>
            <w:tcW w:w="2880" w:type="dxa"/>
            <w:tcBorders>
              <w:bottom w:val="single" w:sz="4" w:space="0" w:color="D3D3D3"/>
            </w:tcBorders>
            <w:shd w:val="clear" w:color="auto" w:fill="F2F4F7"/>
            <w:tcMar>
              <w:top w:w="100" w:type="dxa"/>
              <w:left w:w="150" w:type="dxa"/>
              <w:bottom w:w="100" w:type="dxa"/>
              <w:right w:w="150" w:type="dxa"/>
            </w:tcMar>
          </w:tcPr>
          <w:p w14:paraId="4649F3B9" w14:textId="77777777" w:rsidR="00237D46" w:rsidRDefault="00000000">
            <w:r>
              <w:rPr>
                <w:rFonts w:ascii="Calibri" w:hAnsi="Calibri"/>
                <w:b/>
                <w:sz w:val="21"/>
              </w:rPr>
              <w:lastRenderedPageBreak/>
              <w:t>createdAt</w:t>
            </w:r>
          </w:p>
        </w:tc>
        <w:tc>
          <w:tcPr>
            <w:tcW w:w="6480" w:type="dxa"/>
            <w:tcBorders>
              <w:bottom w:val="single" w:sz="4" w:space="0" w:color="D3D3D3"/>
            </w:tcBorders>
            <w:shd w:val="clear" w:color="auto" w:fill="F2F4F7"/>
            <w:tcMar>
              <w:top w:w="100" w:type="dxa"/>
              <w:left w:w="150" w:type="dxa"/>
              <w:bottom w:w="100" w:type="dxa"/>
              <w:right w:w="150" w:type="dxa"/>
            </w:tcMar>
          </w:tcPr>
          <w:p w14:paraId="1E17E7E9" w14:textId="77777777" w:rsidR="00237D46" w:rsidRDefault="00000000">
            <w:r>
              <w:rPr>
                <w:rFonts w:ascii="Calibri" w:hAnsi="Calibri"/>
                <w:sz w:val="21"/>
              </w:rPr>
              <w:t>The timestamp marking when this specific factor card was appended to the review session.</w:t>
            </w:r>
          </w:p>
        </w:tc>
      </w:tr>
    </w:tbl>
    <w:p w14:paraId="2E602212" w14:textId="77777777" w:rsidR="00237D46" w:rsidRDefault="00000000">
      <w:pPr>
        <w:keepNext/>
        <w:spacing w:before="360" w:after="120"/>
      </w:pPr>
      <w:r>
        <w:rPr>
          <w:rFonts w:ascii="Calibri Light" w:hAnsi="Calibri Light"/>
          <w:b/>
          <w:color w:val="1F4E79"/>
          <w:sz w:val="32"/>
        </w:rPr>
        <w:t>5. Evidence Spans Structure</w:t>
      </w:r>
    </w:p>
    <w:p w14:paraId="3907D359" w14:textId="77777777" w:rsidR="00237D46" w:rsidRDefault="00000000">
      <w:pPr>
        <w:spacing w:after="120"/>
      </w:pPr>
      <w:r>
        <w:rPr>
          <w:rFonts w:ascii="Calibri" w:hAnsi="Calibri"/>
          <w:b/>
        </w:rPr>
        <w:t xml:space="preserve">UI Component Location: </w:t>
      </w:r>
      <w:r>
        <w:rPr>
          <w:rFonts w:ascii="Calibri" w:hAnsi="Calibri"/>
        </w:rPr>
        <w:t>The evidenceSpans array captures individual passages of text selected and saved by the clinician within a patient's medical records. These selections populate the highlight snippet lists nested inside active factor cards, and generate colored text background overlays (&lt;mark&gt; elements) in the primary note viewer.</w:t>
      </w:r>
    </w:p>
    <w:tbl>
      <w:tblPr>
        <w:tblW w:w="0" w:type="auto"/>
        <w:jc w:val="center"/>
        <w:tblLook w:val="04A0" w:firstRow="1" w:lastRow="0" w:firstColumn="1" w:lastColumn="0" w:noHBand="0" w:noVBand="1"/>
      </w:tblPr>
      <w:tblGrid>
        <w:gridCol w:w="2880"/>
        <w:gridCol w:w="6480"/>
      </w:tblGrid>
      <w:tr w:rsidR="00237D46" w14:paraId="478BF011" w14:textId="77777777">
        <w:trPr>
          <w:cantSplit/>
          <w:tblHeader/>
          <w:jc w:val="center"/>
        </w:trPr>
        <w:tc>
          <w:tcPr>
            <w:tcW w:w="2880" w:type="dxa"/>
            <w:shd w:val="clear" w:color="auto" w:fill="1F4E79"/>
            <w:tcMar>
              <w:top w:w="120" w:type="dxa"/>
              <w:left w:w="150" w:type="dxa"/>
              <w:bottom w:w="120" w:type="dxa"/>
              <w:right w:w="150" w:type="dxa"/>
            </w:tcMar>
          </w:tcPr>
          <w:p w14:paraId="7C43C9C1" w14:textId="77777777" w:rsidR="00237D46" w:rsidRDefault="00000000">
            <w:r>
              <w:rPr>
                <w:rFonts w:ascii="Calibri" w:hAnsi="Calibri"/>
                <w:b/>
                <w:color w:val="FFFFFF"/>
              </w:rPr>
              <w:t>Field Name</w:t>
            </w:r>
          </w:p>
        </w:tc>
        <w:tc>
          <w:tcPr>
            <w:tcW w:w="6480" w:type="dxa"/>
            <w:shd w:val="clear" w:color="auto" w:fill="1F4E79"/>
            <w:tcMar>
              <w:top w:w="120" w:type="dxa"/>
              <w:left w:w="150" w:type="dxa"/>
              <w:bottom w:w="120" w:type="dxa"/>
              <w:right w:w="150" w:type="dxa"/>
            </w:tcMar>
          </w:tcPr>
          <w:p w14:paraId="4F9FFBCE" w14:textId="77777777" w:rsidR="00237D46" w:rsidRDefault="00000000">
            <w:r>
              <w:rPr>
                <w:rFonts w:ascii="Calibri" w:hAnsi="Calibri"/>
                <w:b/>
                <w:color w:val="FFFFFF"/>
              </w:rPr>
              <w:t>UI Mapping &amp; Functional Meaning</w:t>
            </w:r>
          </w:p>
        </w:tc>
      </w:tr>
      <w:tr w:rsidR="00237D46" w14:paraId="09E200B1" w14:textId="77777777">
        <w:trPr>
          <w:cantSplit/>
          <w:jc w:val="center"/>
        </w:trPr>
        <w:tc>
          <w:tcPr>
            <w:tcW w:w="2880" w:type="dxa"/>
            <w:tcBorders>
              <w:bottom w:val="single" w:sz="4" w:space="0" w:color="D3D3D3"/>
            </w:tcBorders>
            <w:tcMar>
              <w:top w:w="100" w:type="dxa"/>
              <w:left w:w="150" w:type="dxa"/>
              <w:bottom w:w="100" w:type="dxa"/>
              <w:right w:w="150" w:type="dxa"/>
            </w:tcMar>
          </w:tcPr>
          <w:p w14:paraId="5E859B09" w14:textId="77777777" w:rsidR="00237D46" w:rsidRDefault="00000000">
            <w:r>
              <w:rPr>
                <w:rFonts w:ascii="Calibri" w:hAnsi="Calibri"/>
                <w:b/>
                <w:sz w:val="21"/>
              </w:rPr>
              <w:t>id</w:t>
            </w:r>
          </w:p>
        </w:tc>
        <w:tc>
          <w:tcPr>
            <w:tcW w:w="6480" w:type="dxa"/>
            <w:tcBorders>
              <w:bottom w:val="single" w:sz="4" w:space="0" w:color="D3D3D3"/>
            </w:tcBorders>
            <w:tcMar>
              <w:top w:w="100" w:type="dxa"/>
              <w:left w:w="150" w:type="dxa"/>
              <w:bottom w:w="100" w:type="dxa"/>
              <w:right w:w="150" w:type="dxa"/>
            </w:tcMar>
          </w:tcPr>
          <w:p w14:paraId="46998076" w14:textId="77777777" w:rsidR="00237D46" w:rsidRDefault="00000000">
            <w:r>
              <w:rPr>
                <w:rFonts w:ascii="Calibri" w:hAnsi="Calibri"/>
                <w:sz w:val="21"/>
              </w:rPr>
              <w:t>The unique identifier generated for each distinct text highlight.</w:t>
            </w:r>
          </w:p>
        </w:tc>
      </w:tr>
      <w:tr w:rsidR="00237D46" w14:paraId="66AE4970" w14:textId="77777777">
        <w:trPr>
          <w:cantSplit/>
          <w:jc w:val="center"/>
        </w:trPr>
        <w:tc>
          <w:tcPr>
            <w:tcW w:w="2880" w:type="dxa"/>
            <w:tcBorders>
              <w:bottom w:val="single" w:sz="4" w:space="0" w:color="D3D3D3"/>
            </w:tcBorders>
            <w:shd w:val="clear" w:color="auto" w:fill="F2F4F7"/>
            <w:tcMar>
              <w:top w:w="100" w:type="dxa"/>
              <w:left w:w="150" w:type="dxa"/>
              <w:bottom w:w="100" w:type="dxa"/>
              <w:right w:w="150" w:type="dxa"/>
            </w:tcMar>
          </w:tcPr>
          <w:p w14:paraId="3E414744" w14:textId="77777777" w:rsidR="00237D46" w:rsidRDefault="00000000">
            <w:r>
              <w:rPr>
                <w:rFonts w:ascii="Calibri" w:hAnsi="Calibri"/>
                <w:b/>
                <w:sz w:val="21"/>
              </w:rPr>
              <w:t>caseId</w:t>
            </w:r>
          </w:p>
        </w:tc>
        <w:tc>
          <w:tcPr>
            <w:tcW w:w="6480" w:type="dxa"/>
            <w:tcBorders>
              <w:bottom w:val="single" w:sz="4" w:space="0" w:color="D3D3D3"/>
            </w:tcBorders>
            <w:shd w:val="clear" w:color="auto" w:fill="F2F4F7"/>
            <w:tcMar>
              <w:top w:w="100" w:type="dxa"/>
              <w:left w:w="150" w:type="dxa"/>
              <w:bottom w:w="100" w:type="dxa"/>
              <w:right w:w="150" w:type="dxa"/>
            </w:tcMar>
          </w:tcPr>
          <w:p w14:paraId="6957C1AF" w14:textId="77777777" w:rsidR="00237D46" w:rsidRDefault="00000000">
            <w:r>
              <w:rPr>
                <w:rFonts w:ascii="Calibri" w:hAnsi="Calibri"/>
                <w:sz w:val="21"/>
              </w:rPr>
              <w:t>Links the highlight back to the top-level case ID to guarantee data integrity.</w:t>
            </w:r>
          </w:p>
        </w:tc>
      </w:tr>
      <w:tr w:rsidR="00237D46" w14:paraId="1A55A166" w14:textId="77777777">
        <w:trPr>
          <w:cantSplit/>
          <w:jc w:val="center"/>
        </w:trPr>
        <w:tc>
          <w:tcPr>
            <w:tcW w:w="2880" w:type="dxa"/>
            <w:tcBorders>
              <w:bottom w:val="single" w:sz="4" w:space="0" w:color="D3D3D3"/>
            </w:tcBorders>
            <w:tcMar>
              <w:top w:w="100" w:type="dxa"/>
              <w:left w:w="150" w:type="dxa"/>
              <w:bottom w:w="100" w:type="dxa"/>
              <w:right w:w="150" w:type="dxa"/>
            </w:tcMar>
          </w:tcPr>
          <w:p w14:paraId="474438FC" w14:textId="77777777" w:rsidR="00237D46" w:rsidRDefault="00000000">
            <w:r>
              <w:rPr>
                <w:rFonts w:ascii="Calibri" w:hAnsi="Calibri"/>
                <w:b/>
                <w:sz w:val="21"/>
              </w:rPr>
              <w:t>noteType</w:t>
            </w:r>
          </w:p>
        </w:tc>
        <w:tc>
          <w:tcPr>
            <w:tcW w:w="6480" w:type="dxa"/>
            <w:tcBorders>
              <w:bottom w:val="single" w:sz="4" w:space="0" w:color="D3D3D3"/>
            </w:tcBorders>
            <w:tcMar>
              <w:top w:w="100" w:type="dxa"/>
              <w:left w:w="150" w:type="dxa"/>
              <w:bottom w:w="100" w:type="dxa"/>
              <w:right w:w="150" w:type="dxa"/>
            </w:tcMar>
          </w:tcPr>
          <w:p w14:paraId="1F4AF996" w14:textId="77777777" w:rsidR="00237D46" w:rsidRDefault="00000000">
            <w:r>
              <w:rPr>
                <w:rFonts w:ascii="Calibri" w:hAnsi="Calibri"/>
                <w:sz w:val="21"/>
              </w:rPr>
              <w:t>Identifies which source document contains the highlight. Supported types are 'index_hf' (Index Admission Note) or 'readmission' (Readmission Note). This field dictates the source badge displayed on each snippet in the UI.</w:t>
            </w:r>
          </w:p>
        </w:tc>
      </w:tr>
      <w:tr w:rsidR="00237D46" w14:paraId="6E50962F" w14:textId="77777777">
        <w:trPr>
          <w:cantSplit/>
          <w:jc w:val="center"/>
        </w:trPr>
        <w:tc>
          <w:tcPr>
            <w:tcW w:w="2880" w:type="dxa"/>
            <w:tcBorders>
              <w:bottom w:val="single" w:sz="4" w:space="0" w:color="D3D3D3"/>
            </w:tcBorders>
            <w:shd w:val="clear" w:color="auto" w:fill="F2F4F7"/>
            <w:tcMar>
              <w:top w:w="100" w:type="dxa"/>
              <w:left w:w="150" w:type="dxa"/>
              <w:bottom w:w="100" w:type="dxa"/>
              <w:right w:w="150" w:type="dxa"/>
            </w:tcMar>
          </w:tcPr>
          <w:p w14:paraId="621D787B" w14:textId="77777777" w:rsidR="00237D46" w:rsidRDefault="00000000">
            <w:r>
              <w:rPr>
                <w:rFonts w:ascii="Calibri" w:hAnsi="Calibri"/>
                <w:b/>
                <w:sz w:val="21"/>
              </w:rPr>
              <w:t>groupId</w:t>
            </w:r>
          </w:p>
        </w:tc>
        <w:tc>
          <w:tcPr>
            <w:tcW w:w="6480" w:type="dxa"/>
            <w:tcBorders>
              <w:bottom w:val="single" w:sz="4" w:space="0" w:color="D3D3D3"/>
            </w:tcBorders>
            <w:shd w:val="clear" w:color="auto" w:fill="F2F4F7"/>
            <w:tcMar>
              <w:top w:w="100" w:type="dxa"/>
              <w:left w:w="150" w:type="dxa"/>
              <w:bottom w:w="100" w:type="dxa"/>
              <w:right w:w="150" w:type="dxa"/>
            </w:tcMar>
          </w:tcPr>
          <w:p w14:paraId="1FA3E9E4" w14:textId="77777777" w:rsidR="00237D46" w:rsidRDefault="00000000">
            <w:r>
              <w:rPr>
                <w:rFonts w:ascii="Calibri" w:hAnsi="Calibri"/>
                <w:sz w:val="21"/>
              </w:rPr>
              <w:t>The foreign key linking the text highlight directly to its parent card in the evidenceGroups array.</w:t>
            </w:r>
          </w:p>
        </w:tc>
      </w:tr>
      <w:tr w:rsidR="00237D46" w14:paraId="04C36EF7" w14:textId="77777777">
        <w:trPr>
          <w:cantSplit/>
          <w:jc w:val="center"/>
        </w:trPr>
        <w:tc>
          <w:tcPr>
            <w:tcW w:w="2880" w:type="dxa"/>
            <w:tcBorders>
              <w:bottom w:val="single" w:sz="4" w:space="0" w:color="D3D3D3"/>
            </w:tcBorders>
            <w:tcMar>
              <w:top w:w="100" w:type="dxa"/>
              <w:left w:w="150" w:type="dxa"/>
              <w:bottom w:w="100" w:type="dxa"/>
              <w:right w:w="150" w:type="dxa"/>
            </w:tcMar>
          </w:tcPr>
          <w:p w14:paraId="249E786B" w14:textId="77777777" w:rsidR="00237D46" w:rsidRDefault="00000000">
            <w:r>
              <w:rPr>
                <w:rFonts w:ascii="Calibri" w:hAnsi="Calibri"/>
                <w:b/>
                <w:sz w:val="21"/>
              </w:rPr>
              <w:t>factorId</w:t>
            </w:r>
          </w:p>
        </w:tc>
        <w:tc>
          <w:tcPr>
            <w:tcW w:w="6480" w:type="dxa"/>
            <w:tcBorders>
              <w:bottom w:val="single" w:sz="4" w:space="0" w:color="D3D3D3"/>
            </w:tcBorders>
            <w:tcMar>
              <w:top w:w="100" w:type="dxa"/>
              <w:left w:w="150" w:type="dxa"/>
              <w:bottom w:w="100" w:type="dxa"/>
              <w:right w:w="150" w:type="dxa"/>
            </w:tcMar>
          </w:tcPr>
          <w:p w14:paraId="6E7E77B6" w14:textId="77777777" w:rsidR="00237D46" w:rsidRDefault="00000000">
            <w:r>
              <w:rPr>
                <w:rFonts w:ascii="Calibri" w:hAnsi="Calibri"/>
                <w:sz w:val="21"/>
              </w:rPr>
              <w:t>Set to 'null' while the parent factor remains an in-progress draft. Once the group is finalized via 'Save &amp; complete factor', this field is updated to point to the generated record inside the factors[] array.</w:t>
            </w:r>
          </w:p>
        </w:tc>
      </w:tr>
      <w:tr w:rsidR="00237D46" w14:paraId="4E20E44E" w14:textId="77777777">
        <w:trPr>
          <w:cantSplit/>
          <w:jc w:val="center"/>
        </w:trPr>
        <w:tc>
          <w:tcPr>
            <w:tcW w:w="2880" w:type="dxa"/>
            <w:tcBorders>
              <w:bottom w:val="single" w:sz="4" w:space="0" w:color="D3D3D3"/>
            </w:tcBorders>
            <w:shd w:val="clear" w:color="auto" w:fill="F2F4F7"/>
            <w:tcMar>
              <w:top w:w="100" w:type="dxa"/>
              <w:left w:w="150" w:type="dxa"/>
              <w:bottom w:w="100" w:type="dxa"/>
              <w:right w:w="150" w:type="dxa"/>
            </w:tcMar>
          </w:tcPr>
          <w:p w14:paraId="5884B84B" w14:textId="77777777" w:rsidR="00237D46" w:rsidRDefault="00000000">
            <w:r>
              <w:rPr>
                <w:rFonts w:ascii="Calibri" w:hAnsi="Calibri"/>
                <w:b/>
                <w:sz w:val="21"/>
              </w:rPr>
              <w:t>sectionTitle</w:t>
            </w:r>
          </w:p>
        </w:tc>
        <w:tc>
          <w:tcPr>
            <w:tcW w:w="6480" w:type="dxa"/>
            <w:tcBorders>
              <w:bottom w:val="single" w:sz="4" w:space="0" w:color="D3D3D3"/>
            </w:tcBorders>
            <w:shd w:val="clear" w:color="auto" w:fill="F2F4F7"/>
            <w:tcMar>
              <w:top w:w="100" w:type="dxa"/>
              <w:left w:w="150" w:type="dxa"/>
              <w:bottom w:w="100" w:type="dxa"/>
              <w:right w:w="150" w:type="dxa"/>
            </w:tcMar>
          </w:tcPr>
          <w:p w14:paraId="769F08C8" w14:textId="77777777" w:rsidR="00237D46" w:rsidRDefault="00000000">
            <w:r>
              <w:rPr>
                <w:rFonts w:ascii="Calibri" w:hAnsi="Calibri"/>
                <w:sz w:val="21"/>
              </w:rPr>
              <w:t>The explicit text title of the medical note section where the text was highlighted (e.g., 'History of Present Illness'). Displayed immediately below each text snippet in the UI as descriptive metadata.</w:t>
            </w:r>
          </w:p>
        </w:tc>
      </w:tr>
      <w:tr w:rsidR="00237D46" w14:paraId="37CE531E" w14:textId="77777777">
        <w:trPr>
          <w:cantSplit/>
          <w:jc w:val="center"/>
        </w:trPr>
        <w:tc>
          <w:tcPr>
            <w:tcW w:w="2880" w:type="dxa"/>
            <w:tcBorders>
              <w:bottom w:val="single" w:sz="4" w:space="0" w:color="D3D3D3"/>
            </w:tcBorders>
            <w:tcMar>
              <w:top w:w="100" w:type="dxa"/>
              <w:left w:w="150" w:type="dxa"/>
              <w:bottom w:w="100" w:type="dxa"/>
              <w:right w:w="150" w:type="dxa"/>
            </w:tcMar>
          </w:tcPr>
          <w:p w14:paraId="5EE363B8" w14:textId="77777777" w:rsidR="00237D46" w:rsidRDefault="00000000">
            <w:r>
              <w:rPr>
                <w:rFonts w:ascii="Calibri" w:hAnsi="Calibri"/>
                <w:b/>
                <w:sz w:val="21"/>
              </w:rPr>
              <w:t>sectionId</w:t>
            </w:r>
          </w:p>
        </w:tc>
        <w:tc>
          <w:tcPr>
            <w:tcW w:w="6480" w:type="dxa"/>
            <w:tcBorders>
              <w:bottom w:val="single" w:sz="4" w:space="0" w:color="D3D3D3"/>
            </w:tcBorders>
            <w:tcMar>
              <w:top w:w="100" w:type="dxa"/>
              <w:left w:w="150" w:type="dxa"/>
              <w:bottom w:w="100" w:type="dxa"/>
              <w:right w:w="150" w:type="dxa"/>
            </w:tcMar>
          </w:tcPr>
          <w:p w14:paraId="54756C73" w14:textId="77777777" w:rsidR="00237D46" w:rsidRDefault="00000000">
            <w:r>
              <w:rPr>
                <w:rFonts w:ascii="Calibri" w:hAnsi="Calibri"/>
                <w:sz w:val="21"/>
              </w:rPr>
              <w:t>An optional string identifier mapping back to the structural section layout of the source note.</w:t>
            </w:r>
          </w:p>
        </w:tc>
      </w:tr>
      <w:tr w:rsidR="00237D46" w14:paraId="0C2887BF" w14:textId="77777777">
        <w:trPr>
          <w:cantSplit/>
          <w:jc w:val="center"/>
        </w:trPr>
        <w:tc>
          <w:tcPr>
            <w:tcW w:w="2880" w:type="dxa"/>
            <w:tcBorders>
              <w:bottom w:val="single" w:sz="4" w:space="0" w:color="D3D3D3"/>
            </w:tcBorders>
            <w:shd w:val="clear" w:color="auto" w:fill="F2F4F7"/>
            <w:tcMar>
              <w:top w:w="100" w:type="dxa"/>
              <w:left w:w="150" w:type="dxa"/>
              <w:bottom w:w="100" w:type="dxa"/>
              <w:right w:w="150" w:type="dxa"/>
            </w:tcMar>
          </w:tcPr>
          <w:p w14:paraId="0157697D" w14:textId="77777777" w:rsidR="00237D46" w:rsidRDefault="00000000">
            <w:r>
              <w:rPr>
                <w:rFonts w:ascii="Calibri" w:hAnsi="Calibri"/>
                <w:b/>
                <w:sz w:val="21"/>
              </w:rPr>
              <w:lastRenderedPageBreak/>
              <w:t>startChar</w:t>
            </w:r>
          </w:p>
        </w:tc>
        <w:tc>
          <w:tcPr>
            <w:tcW w:w="6480" w:type="dxa"/>
            <w:tcBorders>
              <w:bottom w:val="single" w:sz="4" w:space="0" w:color="D3D3D3"/>
            </w:tcBorders>
            <w:shd w:val="clear" w:color="auto" w:fill="F2F4F7"/>
            <w:tcMar>
              <w:top w:w="100" w:type="dxa"/>
              <w:left w:w="150" w:type="dxa"/>
              <w:bottom w:w="100" w:type="dxa"/>
              <w:right w:w="150" w:type="dxa"/>
            </w:tcMar>
          </w:tcPr>
          <w:p w14:paraId="11768DBF" w14:textId="77777777" w:rsidR="00237D46" w:rsidRDefault="00000000">
            <w:r>
              <w:rPr>
                <w:rFonts w:ascii="Calibri" w:hAnsi="Calibri"/>
                <w:sz w:val="21"/>
              </w:rPr>
              <w:t>An integer tracking the starting character offset of the selection relative to the raw, unformatted note text. Used to render the colored mark overlay.</w:t>
            </w:r>
          </w:p>
        </w:tc>
      </w:tr>
      <w:tr w:rsidR="00237D46" w14:paraId="4D36E1FB" w14:textId="77777777">
        <w:trPr>
          <w:cantSplit/>
          <w:jc w:val="center"/>
        </w:trPr>
        <w:tc>
          <w:tcPr>
            <w:tcW w:w="2880" w:type="dxa"/>
            <w:tcBorders>
              <w:bottom w:val="single" w:sz="4" w:space="0" w:color="D3D3D3"/>
            </w:tcBorders>
            <w:tcMar>
              <w:top w:w="100" w:type="dxa"/>
              <w:left w:w="150" w:type="dxa"/>
              <w:bottom w:w="100" w:type="dxa"/>
              <w:right w:w="150" w:type="dxa"/>
            </w:tcMar>
          </w:tcPr>
          <w:p w14:paraId="09EC6193" w14:textId="77777777" w:rsidR="00237D46" w:rsidRDefault="00000000">
            <w:r>
              <w:rPr>
                <w:rFonts w:ascii="Calibri" w:hAnsi="Calibri"/>
                <w:b/>
                <w:sz w:val="21"/>
              </w:rPr>
              <w:t>endChar</w:t>
            </w:r>
          </w:p>
        </w:tc>
        <w:tc>
          <w:tcPr>
            <w:tcW w:w="6480" w:type="dxa"/>
            <w:tcBorders>
              <w:bottom w:val="single" w:sz="4" w:space="0" w:color="D3D3D3"/>
            </w:tcBorders>
            <w:tcMar>
              <w:top w:w="100" w:type="dxa"/>
              <w:left w:w="150" w:type="dxa"/>
              <w:bottom w:w="100" w:type="dxa"/>
              <w:right w:w="150" w:type="dxa"/>
            </w:tcMar>
          </w:tcPr>
          <w:p w14:paraId="4C68028E" w14:textId="77777777" w:rsidR="00237D46" w:rsidRDefault="00000000">
            <w:r>
              <w:rPr>
                <w:rFonts w:ascii="Calibri" w:hAnsi="Calibri"/>
                <w:sz w:val="21"/>
              </w:rPr>
              <w:t>An integer tracking the ending character offset of the selection relative to the raw, unformatted note text.</w:t>
            </w:r>
          </w:p>
        </w:tc>
      </w:tr>
      <w:tr w:rsidR="00237D46" w14:paraId="423C4B6B" w14:textId="77777777">
        <w:trPr>
          <w:cantSplit/>
          <w:jc w:val="center"/>
        </w:trPr>
        <w:tc>
          <w:tcPr>
            <w:tcW w:w="2880" w:type="dxa"/>
            <w:tcBorders>
              <w:bottom w:val="single" w:sz="4" w:space="0" w:color="D3D3D3"/>
            </w:tcBorders>
            <w:shd w:val="clear" w:color="auto" w:fill="F2F4F7"/>
            <w:tcMar>
              <w:top w:w="100" w:type="dxa"/>
              <w:left w:w="150" w:type="dxa"/>
              <w:bottom w:w="100" w:type="dxa"/>
              <w:right w:w="150" w:type="dxa"/>
            </w:tcMar>
          </w:tcPr>
          <w:p w14:paraId="4D883AFE" w14:textId="77777777" w:rsidR="00237D46" w:rsidRDefault="00000000">
            <w:r>
              <w:rPr>
                <w:rFonts w:ascii="Calibri" w:hAnsi="Calibri"/>
                <w:b/>
                <w:sz w:val="21"/>
              </w:rPr>
              <w:t>selectedText</w:t>
            </w:r>
          </w:p>
        </w:tc>
        <w:tc>
          <w:tcPr>
            <w:tcW w:w="6480" w:type="dxa"/>
            <w:tcBorders>
              <w:bottom w:val="single" w:sz="4" w:space="0" w:color="D3D3D3"/>
            </w:tcBorders>
            <w:shd w:val="clear" w:color="auto" w:fill="F2F4F7"/>
            <w:tcMar>
              <w:top w:w="100" w:type="dxa"/>
              <w:left w:w="150" w:type="dxa"/>
              <w:bottom w:w="100" w:type="dxa"/>
              <w:right w:w="150" w:type="dxa"/>
            </w:tcMar>
          </w:tcPr>
          <w:p w14:paraId="7E4BEFD2" w14:textId="77777777" w:rsidR="00237D46" w:rsidRDefault="00000000">
            <w:r>
              <w:rPr>
                <w:rFonts w:ascii="Calibri" w:hAnsi="Calibri"/>
                <w:sz w:val="21"/>
              </w:rPr>
              <w:t>The literal string snippet quoted from the medical note, displayed directly within the factor card's highlight overview list.</w:t>
            </w:r>
          </w:p>
        </w:tc>
      </w:tr>
    </w:tbl>
    <w:p w14:paraId="1E2612BA" w14:textId="77777777" w:rsidR="00237D46" w:rsidRDefault="00000000">
      <w:pPr>
        <w:keepNext/>
        <w:spacing w:before="360" w:after="120"/>
      </w:pPr>
      <w:r>
        <w:rPr>
          <w:rFonts w:ascii="Calibri Light" w:hAnsi="Calibri Light"/>
          <w:b/>
          <w:color w:val="1F4E79"/>
          <w:sz w:val="32"/>
        </w:rPr>
        <w:t>6. Completed Factors Structure</w:t>
      </w:r>
    </w:p>
    <w:p w14:paraId="35A92EA8" w14:textId="77777777" w:rsidR="00237D46" w:rsidRDefault="00000000">
      <w:pPr>
        <w:spacing w:after="120"/>
      </w:pPr>
      <w:r>
        <w:rPr>
          <w:rFonts w:ascii="Calibri" w:hAnsi="Calibri"/>
          <w:b/>
        </w:rPr>
        <w:t xml:space="preserve">UI Component Location: </w:t>
      </w:r>
      <w:r>
        <w:rPr>
          <w:rFonts w:ascii="Calibri" w:hAnsi="Calibri"/>
        </w:rPr>
        <w:t>The factors array contains structured metadata records generated exclusively when a clinician clicks the 'Save &amp; complete factor' action (which triggers the internal finalizeGroupInAnnotation procedure). Until that action occurs, all in-progress form inputs reside strictly within the frontend form state and the evidenceGroups drafting properties.</w:t>
      </w:r>
    </w:p>
    <w:tbl>
      <w:tblPr>
        <w:tblW w:w="0" w:type="auto"/>
        <w:jc w:val="center"/>
        <w:tblLook w:val="04A0" w:firstRow="1" w:lastRow="0" w:firstColumn="1" w:lastColumn="0" w:noHBand="0" w:noVBand="1"/>
      </w:tblPr>
      <w:tblGrid>
        <w:gridCol w:w="3119"/>
        <w:gridCol w:w="6241"/>
      </w:tblGrid>
      <w:tr w:rsidR="00237D46" w14:paraId="091DCC7D" w14:textId="77777777">
        <w:trPr>
          <w:cantSplit/>
          <w:tblHeader/>
          <w:jc w:val="center"/>
        </w:trPr>
        <w:tc>
          <w:tcPr>
            <w:tcW w:w="2880" w:type="dxa"/>
            <w:shd w:val="clear" w:color="auto" w:fill="1F4E79"/>
            <w:tcMar>
              <w:top w:w="120" w:type="dxa"/>
              <w:left w:w="150" w:type="dxa"/>
              <w:bottom w:w="120" w:type="dxa"/>
              <w:right w:w="150" w:type="dxa"/>
            </w:tcMar>
          </w:tcPr>
          <w:p w14:paraId="366FA8A4" w14:textId="77777777" w:rsidR="00237D46" w:rsidRDefault="00000000">
            <w:r>
              <w:rPr>
                <w:rFonts w:ascii="Calibri" w:hAnsi="Calibri"/>
                <w:b/>
                <w:color w:val="FFFFFF"/>
              </w:rPr>
              <w:t>Field Name</w:t>
            </w:r>
          </w:p>
        </w:tc>
        <w:tc>
          <w:tcPr>
            <w:tcW w:w="6480" w:type="dxa"/>
            <w:shd w:val="clear" w:color="auto" w:fill="1F4E79"/>
            <w:tcMar>
              <w:top w:w="120" w:type="dxa"/>
              <w:left w:w="150" w:type="dxa"/>
              <w:bottom w:w="120" w:type="dxa"/>
              <w:right w:w="150" w:type="dxa"/>
            </w:tcMar>
          </w:tcPr>
          <w:p w14:paraId="74A56B99" w14:textId="77777777" w:rsidR="00237D46" w:rsidRDefault="00000000">
            <w:r>
              <w:rPr>
                <w:rFonts w:ascii="Calibri" w:hAnsi="Calibri"/>
                <w:b/>
                <w:color w:val="FFFFFF"/>
              </w:rPr>
              <w:t>UI Mapping &amp; Functional Meaning</w:t>
            </w:r>
          </w:p>
        </w:tc>
      </w:tr>
      <w:tr w:rsidR="00237D46" w14:paraId="627F6C9B" w14:textId="77777777">
        <w:trPr>
          <w:cantSplit/>
          <w:jc w:val="center"/>
        </w:trPr>
        <w:tc>
          <w:tcPr>
            <w:tcW w:w="2880" w:type="dxa"/>
            <w:tcBorders>
              <w:bottom w:val="single" w:sz="4" w:space="0" w:color="D3D3D3"/>
            </w:tcBorders>
            <w:tcMar>
              <w:top w:w="100" w:type="dxa"/>
              <w:left w:w="150" w:type="dxa"/>
              <w:bottom w:w="100" w:type="dxa"/>
              <w:right w:w="150" w:type="dxa"/>
            </w:tcMar>
          </w:tcPr>
          <w:p w14:paraId="573A8D48" w14:textId="77777777" w:rsidR="00237D46" w:rsidRDefault="00000000">
            <w:r>
              <w:rPr>
                <w:rFonts w:ascii="Calibri" w:hAnsi="Calibri"/>
                <w:b/>
                <w:sz w:val="21"/>
              </w:rPr>
              <w:t>id</w:t>
            </w:r>
          </w:p>
        </w:tc>
        <w:tc>
          <w:tcPr>
            <w:tcW w:w="6480" w:type="dxa"/>
            <w:tcBorders>
              <w:bottom w:val="single" w:sz="4" w:space="0" w:color="D3D3D3"/>
            </w:tcBorders>
            <w:tcMar>
              <w:top w:w="100" w:type="dxa"/>
              <w:left w:w="150" w:type="dxa"/>
              <w:bottom w:w="100" w:type="dxa"/>
              <w:right w:w="150" w:type="dxa"/>
            </w:tcMar>
          </w:tcPr>
          <w:p w14:paraId="7C4AF3FF" w14:textId="77777777" w:rsidR="00237D46" w:rsidRDefault="00000000">
            <w:r>
              <w:rPr>
                <w:rFonts w:ascii="Calibri" w:hAnsi="Calibri"/>
                <w:sz w:val="21"/>
              </w:rPr>
              <w:t>The unique identifier generated for the finalized factor record, referenced by associated groups and spans.</w:t>
            </w:r>
          </w:p>
        </w:tc>
      </w:tr>
      <w:tr w:rsidR="00237D46" w14:paraId="20E6040E" w14:textId="77777777">
        <w:trPr>
          <w:cantSplit/>
          <w:jc w:val="center"/>
        </w:trPr>
        <w:tc>
          <w:tcPr>
            <w:tcW w:w="2880" w:type="dxa"/>
            <w:tcBorders>
              <w:bottom w:val="single" w:sz="4" w:space="0" w:color="D3D3D3"/>
            </w:tcBorders>
            <w:shd w:val="clear" w:color="auto" w:fill="F2F4F7"/>
            <w:tcMar>
              <w:top w:w="100" w:type="dxa"/>
              <w:left w:w="150" w:type="dxa"/>
              <w:bottom w:w="100" w:type="dxa"/>
              <w:right w:w="150" w:type="dxa"/>
            </w:tcMar>
          </w:tcPr>
          <w:p w14:paraId="4D765099" w14:textId="77777777" w:rsidR="00237D46" w:rsidRDefault="00000000">
            <w:r>
              <w:rPr>
                <w:rFonts w:ascii="Calibri" w:hAnsi="Calibri"/>
                <w:b/>
                <w:sz w:val="21"/>
              </w:rPr>
              <w:t>label</w:t>
            </w:r>
          </w:p>
        </w:tc>
        <w:tc>
          <w:tcPr>
            <w:tcW w:w="6480" w:type="dxa"/>
            <w:tcBorders>
              <w:bottom w:val="single" w:sz="4" w:space="0" w:color="D3D3D3"/>
            </w:tcBorders>
            <w:shd w:val="clear" w:color="auto" w:fill="F2F4F7"/>
            <w:tcMar>
              <w:top w:w="100" w:type="dxa"/>
              <w:left w:w="150" w:type="dxa"/>
              <w:bottom w:w="100" w:type="dxa"/>
              <w:right w:w="150" w:type="dxa"/>
            </w:tcMar>
          </w:tcPr>
          <w:p w14:paraId="4EFED2B3" w14:textId="77777777" w:rsidR="00237D46" w:rsidRDefault="00000000">
            <w:r>
              <w:rPr>
                <w:rFonts w:ascii="Calibri" w:hAnsi="Calibri"/>
                <w:sz w:val="21"/>
              </w:rPr>
              <w:t>The descriptive label of the factor, cloned from the evidenceGroup label at the exact moment of finalization.</w:t>
            </w:r>
          </w:p>
        </w:tc>
      </w:tr>
      <w:tr w:rsidR="00237D46" w14:paraId="48F9A19F" w14:textId="77777777">
        <w:trPr>
          <w:cantSplit/>
          <w:jc w:val="center"/>
        </w:trPr>
        <w:tc>
          <w:tcPr>
            <w:tcW w:w="2880" w:type="dxa"/>
            <w:tcBorders>
              <w:bottom w:val="single" w:sz="4" w:space="0" w:color="D3D3D3"/>
            </w:tcBorders>
            <w:tcMar>
              <w:top w:w="100" w:type="dxa"/>
              <w:left w:w="150" w:type="dxa"/>
              <w:bottom w:w="100" w:type="dxa"/>
              <w:right w:w="150" w:type="dxa"/>
            </w:tcMar>
          </w:tcPr>
          <w:p w14:paraId="33365D8F" w14:textId="77777777" w:rsidR="00237D46" w:rsidRDefault="00000000">
            <w:r>
              <w:rPr>
                <w:rFonts w:ascii="Calibri" w:hAnsi="Calibri"/>
                <w:b/>
                <w:sz w:val="21"/>
              </w:rPr>
              <w:t>role</w:t>
            </w:r>
          </w:p>
        </w:tc>
        <w:tc>
          <w:tcPr>
            <w:tcW w:w="6480" w:type="dxa"/>
            <w:tcBorders>
              <w:bottom w:val="single" w:sz="4" w:space="0" w:color="D3D3D3"/>
            </w:tcBorders>
            <w:tcMar>
              <w:top w:w="100" w:type="dxa"/>
              <w:left w:w="150" w:type="dxa"/>
              <w:bottom w:w="100" w:type="dxa"/>
              <w:right w:w="150" w:type="dxa"/>
            </w:tcMar>
          </w:tcPr>
          <w:p w14:paraId="47B013EF" w14:textId="77777777" w:rsidR="00237D46" w:rsidRDefault="00000000">
            <w:r>
              <w:rPr>
                <w:rFonts w:ascii="Calibri" w:hAnsi="Calibri"/>
                <w:sz w:val="21"/>
              </w:rPr>
              <w:t>Captures whether the factor is designated as 'Primary' or 'Contributing' via the Factor Card Form dropdown.</w:t>
            </w:r>
          </w:p>
        </w:tc>
      </w:tr>
      <w:tr w:rsidR="00237D46" w14:paraId="02769F1D" w14:textId="77777777">
        <w:trPr>
          <w:cantSplit/>
          <w:jc w:val="center"/>
        </w:trPr>
        <w:tc>
          <w:tcPr>
            <w:tcW w:w="2880" w:type="dxa"/>
            <w:tcBorders>
              <w:bottom w:val="single" w:sz="4" w:space="0" w:color="D3D3D3"/>
            </w:tcBorders>
            <w:shd w:val="clear" w:color="auto" w:fill="F2F4F7"/>
            <w:tcMar>
              <w:top w:w="100" w:type="dxa"/>
              <w:left w:w="150" w:type="dxa"/>
              <w:bottom w:w="100" w:type="dxa"/>
              <w:right w:w="150" w:type="dxa"/>
            </w:tcMar>
          </w:tcPr>
          <w:p w14:paraId="2BBA3CE3" w14:textId="77777777" w:rsidR="00237D46" w:rsidRDefault="00000000">
            <w:r>
              <w:rPr>
                <w:rFonts w:ascii="Calibri" w:hAnsi="Calibri"/>
                <w:b/>
                <w:sz w:val="21"/>
              </w:rPr>
              <w:t>confidence</w:t>
            </w:r>
          </w:p>
        </w:tc>
        <w:tc>
          <w:tcPr>
            <w:tcW w:w="6480" w:type="dxa"/>
            <w:tcBorders>
              <w:bottom w:val="single" w:sz="4" w:space="0" w:color="D3D3D3"/>
            </w:tcBorders>
            <w:shd w:val="clear" w:color="auto" w:fill="F2F4F7"/>
            <w:tcMar>
              <w:top w:w="100" w:type="dxa"/>
              <w:left w:w="150" w:type="dxa"/>
              <w:bottom w:w="100" w:type="dxa"/>
              <w:right w:w="150" w:type="dxa"/>
            </w:tcMar>
          </w:tcPr>
          <w:p w14:paraId="22BE8810" w14:textId="77777777" w:rsidR="00237D46" w:rsidRDefault="00000000">
            <w:r>
              <w:rPr>
                <w:rFonts w:ascii="Calibri" w:hAnsi="Calibri"/>
                <w:sz w:val="21"/>
              </w:rPr>
              <w:t>A per-factor 1 to 5 Likert confidence scale scoring the clinician's assessment of this isolated factor.</w:t>
            </w:r>
          </w:p>
        </w:tc>
      </w:tr>
      <w:tr w:rsidR="00237D46" w14:paraId="202259C0" w14:textId="77777777">
        <w:trPr>
          <w:cantSplit/>
          <w:jc w:val="center"/>
        </w:trPr>
        <w:tc>
          <w:tcPr>
            <w:tcW w:w="2880" w:type="dxa"/>
            <w:tcBorders>
              <w:bottom w:val="single" w:sz="4" w:space="0" w:color="D3D3D3"/>
            </w:tcBorders>
            <w:tcMar>
              <w:top w:w="100" w:type="dxa"/>
              <w:left w:w="150" w:type="dxa"/>
              <w:bottom w:w="100" w:type="dxa"/>
              <w:right w:w="150" w:type="dxa"/>
            </w:tcMar>
          </w:tcPr>
          <w:p w14:paraId="1BC2D216" w14:textId="77777777" w:rsidR="00237D46" w:rsidRDefault="00000000">
            <w:r>
              <w:rPr>
                <w:rFonts w:ascii="Calibri" w:hAnsi="Calibri"/>
                <w:b/>
                <w:sz w:val="21"/>
              </w:rPr>
              <w:t>note</w:t>
            </w:r>
          </w:p>
        </w:tc>
        <w:tc>
          <w:tcPr>
            <w:tcW w:w="6480" w:type="dxa"/>
            <w:tcBorders>
              <w:bottom w:val="single" w:sz="4" w:space="0" w:color="D3D3D3"/>
            </w:tcBorders>
            <w:tcMar>
              <w:top w:w="100" w:type="dxa"/>
              <w:left w:w="150" w:type="dxa"/>
              <w:bottom w:w="100" w:type="dxa"/>
              <w:right w:w="150" w:type="dxa"/>
            </w:tcMar>
          </w:tcPr>
          <w:p w14:paraId="1C025277" w14:textId="77777777" w:rsidR="00237D46" w:rsidRDefault="00000000">
            <w:r>
              <w:rPr>
                <w:rFonts w:ascii="Calibri" w:hAnsi="Calibri"/>
                <w:sz w:val="21"/>
              </w:rPr>
              <w:t>The final, word-limited text commentary or rationale submitted by the clinician regarding this factor.</w:t>
            </w:r>
          </w:p>
        </w:tc>
      </w:tr>
      <w:tr w:rsidR="00237D46" w14:paraId="24AAB433" w14:textId="77777777">
        <w:trPr>
          <w:cantSplit/>
          <w:jc w:val="center"/>
        </w:trPr>
        <w:tc>
          <w:tcPr>
            <w:tcW w:w="2880" w:type="dxa"/>
            <w:tcBorders>
              <w:bottom w:val="single" w:sz="4" w:space="0" w:color="D3D3D3"/>
            </w:tcBorders>
            <w:shd w:val="clear" w:color="auto" w:fill="F2F4F7"/>
            <w:tcMar>
              <w:top w:w="100" w:type="dxa"/>
              <w:left w:w="150" w:type="dxa"/>
              <w:bottom w:w="100" w:type="dxa"/>
              <w:right w:w="150" w:type="dxa"/>
            </w:tcMar>
          </w:tcPr>
          <w:p w14:paraId="60D9EF44" w14:textId="77777777" w:rsidR="00237D46" w:rsidRDefault="00000000">
            <w:r>
              <w:rPr>
                <w:rFonts w:ascii="Calibri" w:hAnsi="Calibri"/>
                <w:b/>
                <w:sz w:val="21"/>
              </w:rPr>
              <w:lastRenderedPageBreak/>
              <w:t>evidenceSpanIds</w:t>
            </w:r>
          </w:p>
        </w:tc>
        <w:tc>
          <w:tcPr>
            <w:tcW w:w="6480" w:type="dxa"/>
            <w:tcBorders>
              <w:bottom w:val="single" w:sz="4" w:space="0" w:color="D3D3D3"/>
            </w:tcBorders>
            <w:shd w:val="clear" w:color="auto" w:fill="F2F4F7"/>
            <w:tcMar>
              <w:top w:w="100" w:type="dxa"/>
              <w:left w:w="150" w:type="dxa"/>
              <w:bottom w:w="100" w:type="dxa"/>
              <w:right w:w="150" w:type="dxa"/>
            </w:tcMar>
          </w:tcPr>
          <w:p w14:paraId="23BCFFB6" w14:textId="77777777" w:rsidR="00237D46" w:rsidRDefault="00000000">
            <w:r>
              <w:rPr>
                <w:rFonts w:ascii="Calibri" w:hAnsi="Calibri"/>
                <w:sz w:val="21"/>
              </w:rPr>
              <w:t>An array of text string IDs listing all evidenceSpans that were linked to this group color at the time of finalization.</w:t>
            </w:r>
          </w:p>
        </w:tc>
      </w:tr>
      <w:tr w:rsidR="00237D46" w14:paraId="1807BA71" w14:textId="77777777">
        <w:trPr>
          <w:cantSplit/>
          <w:jc w:val="center"/>
        </w:trPr>
        <w:tc>
          <w:tcPr>
            <w:tcW w:w="2880" w:type="dxa"/>
            <w:tcBorders>
              <w:bottom w:val="single" w:sz="4" w:space="0" w:color="D3D3D3"/>
            </w:tcBorders>
            <w:tcMar>
              <w:top w:w="100" w:type="dxa"/>
              <w:left w:w="150" w:type="dxa"/>
              <w:bottom w:w="100" w:type="dxa"/>
              <w:right w:w="150" w:type="dxa"/>
            </w:tcMar>
          </w:tcPr>
          <w:p w14:paraId="43CFBC27" w14:textId="77777777" w:rsidR="00237D46" w:rsidRDefault="00000000">
            <w:r>
              <w:rPr>
                <w:rFonts w:ascii="Calibri" w:hAnsi="Calibri"/>
                <w:b/>
                <w:sz w:val="21"/>
              </w:rPr>
              <w:t>modifiability</w:t>
            </w:r>
          </w:p>
        </w:tc>
        <w:tc>
          <w:tcPr>
            <w:tcW w:w="6480" w:type="dxa"/>
            <w:tcBorders>
              <w:bottom w:val="single" w:sz="4" w:space="0" w:color="D3D3D3"/>
            </w:tcBorders>
            <w:tcMar>
              <w:top w:w="100" w:type="dxa"/>
              <w:left w:w="150" w:type="dxa"/>
              <w:bottom w:w="100" w:type="dxa"/>
              <w:right w:w="150" w:type="dxa"/>
            </w:tcMar>
          </w:tcPr>
          <w:p w14:paraId="137203C8" w14:textId="77777777" w:rsidR="00237D46" w:rsidRDefault="00000000">
            <w:r>
              <w:rPr>
                <w:rFonts w:ascii="Calibri" w:hAnsi="Calibri"/>
                <w:sz w:val="21"/>
              </w:rPr>
              <w:t>Defined in the underlying data schema but not collected in the current layout interface. Automatically defaults to an uncertain or empty state upon saving.</w:t>
            </w:r>
          </w:p>
        </w:tc>
      </w:tr>
      <w:tr w:rsidR="00237D46" w14:paraId="4D3843D1" w14:textId="77777777">
        <w:trPr>
          <w:cantSplit/>
          <w:jc w:val="center"/>
        </w:trPr>
        <w:tc>
          <w:tcPr>
            <w:tcW w:w="2880" w:type="dxa"/>
            <w:tcBorders>
              <w:bottom w:val="single" w:sz="4" w:space="0" w:color="D3D3D3"/>
            </w:tcBorders>
            <w:shd w:val="clear" w:color="auto" w:fill="F2F4F7"/>
            <w:tcMar>
              <w:top w:w="100" w:type="dxa"/>
              <w:left w:w="150" w:type="dxa"/>
              <w:bottom w:w="100" w:type="dxa"/>
              <w:right w:w="150" w:type="dxa"/>
            </w:tcMar>
          </w:tcPr>
          <w:p w14:paraId="7B885006" w14:textId="77777777" w:rsidR="00237D46" w:rsidRDefault="00000000">
            <w:r>
              <w:rPr>
                <w:rFonts w:ascii="Calibri" w:hAnsi="Calibri"/>
                <w:b/>
                <w:sz w:val="21"/>
              </w:rPr>
              <w:t>foreseeableFromIndexDischarge</w:t>
            </w:r>
          </w:p>
        </w:tc>
        <w:tc>
          <w:tcPr>
            <w:tcW w:w="6480" w:type="dxa"/>
            <w:tcBorders>
              <w:bottom w:val="single" w:sz="4" w:space="0" w:color="D3D3D3"/>
            </w:tcBorders>
            <w:shd w:val="clear" w:color="auto" w:fill="F2F4F7"/>
            <w:tcMar>
              <w:top w:w="100" w:type="dxa"/>
              <w:left w:w="150" w:type="dxa"/>
              <w:bottom w:w="100" w:type="dxa"/>
              <w:right w:w="150" w:type="dxa"/>
            </w:tcMar>
          </w:tcPr>
          <w:p w14:paraId="3772E141" w14:textId="77777777" w:rsidR="00237D46" w:rsidRDefault="00000000">
            <w:r>
              <w:rPr>
                <w:rFonts w:ascii="Calibri" w:hAnsi="Calibri"/>
                <w:sz w:val="21"/>
              </w:rPr>
              <w:t>Defined in the underlying data schema but not collected in the current layout interface. Automatically defaults to an uncertain or empty state upon saving.</w:t>
            </w:r>
          </w:p>
        </w:tc>
      </w:tr>
      <w:tr w:rsidR="00237D46" w14:paraId="09AFF4DC" w14:textId="77777777">
        <w:trPr>
          <w:cantSplit/>
          <w:jc w:val="center"/>
        </w:trPr>
        <w:tc>
          <w:tcPr>
            <w:tcW w:w="2880" w:type="dxa"/>
            <w:tcBorders>
              <w:bottom w:val="single" w:sz="4" w:space="0" w:color="D3D3D3"/>
            </w:tcBorders>
            <w:tcMar>
              <w:top w:w="100" w:type="dxa"/>
              <w:left w:w="150" w:type="dxa"/>
              <w:bottom w:w="100" w:type="dxa"/>
              <w:right w:w="150" w:type="dxa"/>
            </w:tcMar>
          </w:tcPr>
          <w:p w14:paraId="028E9487" w14:textId="77777777" w:rsidR="00237D46" w:rsidRDefault="00000000">
            <w:r>
              <w:rPr>
                <w:rFonts w:ascii="Calibri" w:hAnsi="Calibri"/>
                <w:b/>
                <w:sz w:val="21"/>
              </w:rPr>
              <w:t>rationale</w:t>
            </w:r>
          </w:p>
        </w:tc>
        <w:tc>
          <w:tcPr>
            <w:tcW w:w="6480" w:type="dxa"/>
            <w:tcBorders>
              <w:bottom w:val="single" w:sz="4" w:space="0" w:color="D3D3D3"/>
            </w:tcBorders>
            <w:tcMar>
              <w:top w:w="100" w:type="dxa"/>
              <w:left w:w="150" w:type="dxa"/>
              <w:bottom w:w="100" w:type="dxa"/>
              <w:right w:w="150" w:type="dxa"/>
            </w:tcMar>
          </w:tcPr>
          <w:p w14:paraId="32E4AC3A" w14:textId="77777777" w:rsidR="00237D46" w:rsidRDefault="00000000">
            <w:r>
              <w:rPr>
                <w:rFonts w:ascii="Calibri" w:hAnsi="Calibri"/>
                <w:sz w:val="21"/>
              </w:rPr>
              <w:t>Defined in the underlying data schema but not collected in the current layout interface. Automatically defaults to an empty string upon saving.</w:t>
            </w:r>
          </w:p>
        </w:tc>
      </w:tr>
    </w:tbl>
    <w:p w14:paraId="3E51407D" w14:textId="16B2BBD1" w:rsidR="00237D46" w:rsidRDefault="00000000">
      <w:pPr>
        <w:keepNext/>
        <w:spacing w:before="360" w:after="120"/>
      </w:pPr>
      <w:r>
        <w:rPr>
          <w:rFonts w:ascii="Calibri Light" w:hAnsi="Calibri Light"/>
          <w:b/>
          <w:color w:val="1F4E79"/>
          <w:sz w:val="32"/>
        </w:rPr>
        <w:t xml:space="preserve">7. </w:t>
      </w:r>
      <w:r w:rsidR="0073647C">
        <w:rPr>
          <w:rFonts w:ascii="Calibri Light" w:hAnsi="Calibri Light"/>
          <w:b/>
          <w:color w:val="1F4E79"/>
          <w:sz w:val="32"/>
        </w:rPr>
        <w:t xml:space="preserve">Review </w:t>
      </w:r>
      <w:r>
        <w:rPr>
          <w:rFonts w:ascii="Calibri Light" w:hAnsi="Calibri Light"/>
          <w:b/>
          <w:color w:val="1F4E79"/>
          <w:sz w:val="32"/>
        </w:rPr>
        <w:t xml:space="preserve">Workflow &amp; </w:t>
      </w:r>
      <w:r w:rsidR="0073647C">
        <w:rPr>
          <w:rFonts w:ascii="Calibri Light" w:hAnsi="Calibri Light"/>
          <w:b/>
          <w:color w:val="1F4E79"/>
          <w:sz w:val="32"/>
        </w:rPr>
        <w:t xml:space="preserve">JSON </w:t>
      </w:r>
      <w:r>
        <w:rPr>
          <w:rFonts w:ascii="Calibri Light" w:hAnsi="Calibri Light"/>
          <w:b/>
          <w:color w:val="1F4E79"/>
          <w:sz w:val="32"/>
        </w:rPr>
        <w:t>Relationships</w:t>
      </w:r>
    </w:p>
    <w:p w14:paraId="4E23C776" w14:textId="61DC0D33" w:rsidR="00237D46" w:rsidRDefault="00000000">
      <w:pPr>
        <w:spacing w:after="120"/>
      </w:pPr>
      <w:proofErr w:type="gramStart"/>
      <w:r>
        <w:rPr>
          <w:rFonts w:ascii="Calibri" w:hAnsi="Calibri"/>
        </w:rPr>
        <w:t>is</w:t>
      </w:r>
      <w:proofErr w:type="gramEnd"/>
      <w:r>
        <w:rPr>
          <w:rFonts w:ascii="Calibri" w:hAnsi="Calibri"/>
        </w:rPr>
        <w:t xml:space="preserve"> the behavioral lifecycle and operational pipeline that connects the structures:</w:t>
      </w:r>
    </w:p>
    <w:p w14:paraId="4DA7E1B8" w14:textId="77777777" w:rsidR="00237D46" w:rsidRDefault="00000000">
      <w:pPr>
        <w:pStyle w:val="ListBullet"/>
        <w:spacing w:after="60"/>
      </w:pPr>
      <w:r>
        <w:rPr>
          <w:rFonts w:ascii="Calibri" w:hAnsi="Calibri"/>
          <w:b/>
        </w:rPr>
        <w:t xml:space="preserve">1. Initialization: </w:t>
      </w:r>
      <w:r>
        <w:rPr>
          <w:rFonts w:ascii="Calibri" w:hAnsi="Calibri"/>
        </w:rPr>
        <w:t>The clinician opens the case, which populates a draft payload containing caseId, reviewerId, an initial status of 'draft', and a preset evidenceGroup ('Factor 1').</w:t>
      </w:r>
    </w:p>
    <w:p w14:paraId="3C8B203E" w14:textId="77777777" w:rsidR="00237D46" w:rsidRDefault="00000000">
      <w:pPr>
        <w:pStyle w:val="ListBullet"/>
        <w:spacing w:after="60"/>
      </w:pPr>
      <w:r>
        <w:rPr>
          <w:rFonts w:ascii="Calibri" w:hAnsi="Calibri"/>
          <w:b/>
        </w:rPr>
        <w:t xml:space="preserve">2. Case Setup: </w:t>
      </w:r>
      <w:r>
        <w:rPr>
          <w:rFonts w:ascii="Calibri" w:hAnsi="Calibri"/>
        </w:rPr>
        <w:t>The clinician fills out primary details in the Case Setup sidebar tab, which immediately populates data fields within the caseClinicalSummary block.</w:t>
      </w:r>
    </w:p>
    <w:p w14:paraId="4060C08B" w14:textId="77777777" w:rsidR="00237D46" w:rsidRDefault="00000000">
      <w:pPr>
        <w:pStyle w:val="ListBullet"/>
        <w:spacing w:after="60"/>
      </w:pPr>
      <w:r>
        <w:rPr>
          <w:rFonts w:ascii="Calibri" w:hAnsi="Calibri"/>
          <w:b/>
        </w:rPr>
        <w:t xml:space="preserve">3. Factor Selection: </w:t>
      </w:r>
      <w:r>
        <w:rPr>
          <w:rFonts w:ascii="Calibri" w:hAnsi="Calibri"/>
        </w:rPr>
        <w:t>The clinician adds or selects a specific card in the Factors sidebar tab, establishing an 'Active Factor Group'.</w:t>
      </w:r>
    </w:p>
    <w:p w14:paraId="5AC75C0D" w14:textId="77777777" w:rsidR="00237D46" w:rsidRDefault="00000000">
      <w:pPr>
        <w:pStyle w:val="ListBullet"/>
        <w:spacing w:after="60"/>
      </w:pPr>
      <w:r>
        <w:rPr>
          <w:rFonts w:ascii="Calibri" w:hAnsi="Calibri"/>
          <w:b/>
        </w:rPr>
        <w:t xml:space="preserve">4. Evidence Gathering: </w:t>
      </w:r>
      <w:r>
        <w:rPr>
          <w:rFonts w:ascii="Calibri" w:hAnsi="Calibri"/>
        </w:rPr>
        <w:t>The clinician reviews the Index or Readmission notes. Highlighting text while a card is active generates a new entry in the evidenceSpans array. This entry is stamped with the active group's id as its groupId. At this stage, its factorId property remains null.</w:t>
      </w:r>
    </w:p>
    <w:p w14:paraId="2D234A79" w14:textId="77777777" w:rsidR="00237D46" w:rsidRDefault="00000000">
      <w:pPr>
        <w:pStyle w:val="ListBullet"/>
        <w:spacing w:after="60"/>
      </w:pPr>
      <w:r>
        <w:rPr>
          <w:rFonts w:ascii="Calibri" w:hAnsi="Calibri"/>
          <w:b/>
        </w:rPr>
        <w:t xml:space="preserve">5. Finalization: </w:t>
      </w:r>
      <w:r>
        <w:rPr>
          <w:rFonts w:ascii="Calibri" w:hAnsi="Calibri"/>
        </w:rPr>
        <w:t>The clinician fills out the role, confidence scale, and text commentary on the active card and clicks 'Save &amp; complete factor'. This action compiles a new object within the factors array, assigns the group's id to finalizedFactorId, and updates all matching evidenceSpans to map their factorId to the newly minted factor object.</w:t>
      </w:r>
    </w:p>
    <w:p w14:paraId="57EAB1D7" w14:textId="76232103" w:rsidR="00237D46" w:rsidRDefault="00237D46">
      <w:pPr>
        <w:spacing w:after="120"/>
      </w:pPr>
    </w:p>
    <w:sectPr w:rsidR="00237D4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4950387">
    <w:abstractNumId w:val="8"/>
  </w:num>
  <w:num w:numId="2" w16cid:durableId="604658001">
    <w:abstractNumId w:val="6"/>
  </w:num>
  <w:num w:numId="3" w16cid:durableId="204605743">
    <w:abstractNumId w:val="5"/>
  </w:num>
  <w:num w:numId="4" w16cid:durableId="659507166">
    <w:abstractNumId w:val="4"/>
  </w:num>
  <w:num w:numId="5" w16cid:durableId="1864661864">
    <w:abstractNumId w:val="7"/>
  </w:num>
  <w:num w:numId="6" w16cid:durableId="1230845911">
    <w:abstractNumId w:val="3"/>
  </w:num>
  <w:num w:numId="7" w16cid:durableId="1094011059">
    <w:abstractNumId w:val="2"/>
  </w:num>
  <w:num w:numId="8" w16cid:durableId="123353702">
    <w:abstractNumId w:val="1"/>
  </w:num>
  <w:num w:numId="9" w16cid:durableId="1067461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21A2"/>
    <w:rsid w:val="0015074B"/>
    <w:rsid w:val="00237D46"/>
    <w:rsid w:val="0029639D"/>
    <w:rsid w:val="00326F90"/>
    <w:rsid w:val="007364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365AFD"/>
  <w14:defaultImageDpi w14:val="300"/>
  <w15:docId w15:val="{7634965F-5C92-49FE-89EE-ECB3B7A0D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1449</Words>
  <Characters>8262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Simone, Lorenzo</cp:lastModifiedBy>
  <cp:revision>2</cp:revision>
  <dcterms:created xsi:type="dcterms:W3CDTF">2026-07-07T15:56:00Z</dcterms:created>
  <dcterms:modified xsi:type="dcterms:W3CDTF">2026-07-07T15:56:00Z</dcterms:modified>
  <cp:category/>
</cp:coreProperties>
</file>