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766E"/>
        </w:rPr>
        <w:t>Statement of Work — Template</w:t>
      </w:r>
    </w:p>
    <w:p>
      <w:r>
        <w:t>Template — fill placeholders in {{double braces}} before sending. This document is not a legal offer until signed by both parties.</w:t>
      </w:r>
    </w:p>
    <w:p>
      <w:pPr>
        <w:pStyle w:val="Heading1"/>
      </w:pPr>
      <w:r>
        <w:t>Parties &amp; Effective Date</w:t>
      </w:r>
    </w:p>
    <w:p>
      <w:r>
        <w:t>This Statement of Work ("SOW") is between {{Client_Legal_Name}} ("Client") and {{Agency_Legal_Name}} ("Agency"), effective {{Effective_Date}}. It is governed by the Master Services Agreement dated {{MSA_Date}}.</w:t>
      </w:r>
    </w:p>
    <w:p>
      <w:pPr>
        <w:pStyle w:val="Heading1"/>
      </w:pPr>
      <w:r>
        <w:t>Scope of Services</w:t>
      </w:r>
    </w:p>
    <w:p>
      <w:r>
        <w:t>Agency will deliver the {{Vertical_Name}} AI automation package, including: (1) integration with {{Systems_List}}; (2) deployment of the vertical agent suite ({{Agent_List}}); (3) historical replay and tuning; (4) shadow mode and go-live; (5) onboarding, training and support per the SLA.</w:t>
      </w:r>
    </w:p>
    <w:p>
      <w:pPr>
        <w:pStyle w:val="Heading1"/>
      </w:pPr>
      <w:r>
        <w:t>Deliverables &amp; Timeline</w:t>
      </w:r>
    </w:p>
    <w:p>
      <w:r>
        <w:t>Phase 1 — Integrations: {{Integration_Date}}. Phase 2 — Tuning &amp; replay: {{Tuning_Date}}. Phase 3 — Shadow mode: {{Shadow_Date}}. Phase 4 — Go-live: {{GoLive_Date}}. Deliverables are deemed accepted 5 business days after delivery unless Client objects in writing.</w:t>
      </w:r>
    </w:p>
    <w:p>
      <w:pPr>
        <w:pStyle w:val="Heading1"/>
      </w:pPr>
      <w:r>
        <w:t>Client Responsibilities</w:t>
      </w:r>
    </w:p>
    <w:p>
      <w:r>
        <w:t>Client must provide: access credentials in a timely manner, a technical point of contact, approval of message copy, and compliance sign-offs (e.g., HIPAA BAA) before go-live. Delays in client-side items extend the timeline on a day-for-day basis.</w:t>
      </w:r>
    </w:p>
    <w:p>
      <w:pPr>
        <w:pStyle w:val="Heading1"/>
      </w:pPr>
      <w:r>
        <w:t>Assumptions &amp; Exclusions</w:t>
      </w:r>
    </w:p>
    <w:p>
      <w:r>
        <w:t>Third-party system uptime is out of Agency control. Custom features outside the vertical package are quoted separately. Data migration of historical records beyond {{X}} records is billed at {{Rate}}.</w:t>
      </w:r>
    </w:p>
    <w:p>
      <w:pPr>
        <w:pStyle w:val="Heading1"/>
      </w:pPr>
      <w:r>
        <w:t>Signatures</w:t>
      </w:r>
    </w:p>
    <w:p>
      <w:r>
        <w:t>AGENCY: ______________________  Date: ________      CLIENT: ______________________  Date: ________</w:t>
      </w:r>
    </w:p>
    <w:p>
      <w:pPr>
        <w:pStyle w:val="Heading1"/>
      </w:pPr>
      <w:r>
        <w:t>Fees &amp;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Implementation fee</w:t>
            </w:r>
          </w:p>
        </w:tc>
        <w:tc>
          <w:tcPr>
            <w:tcW w:type="dxa" w:w="4320"/>
          </w:tcPr>
          <w:p>
            <w:r>
              <w:t>${{Implementation_Fee}} (one-time)</w:t>
            </w:r>
          </w:p>
        </w:tc>
      </w:tr>
      <w:tr>
        <w:tc>
          <w:tcPr>
            <w:tcW w:type="dxa" w:w="4320"/>
          </w:tcPr>
          <w:p>
            <w:r>
              <w:t>Platform fee</w:t>
            </w:r>
          </w:p>
        </w:tc>
        <w:tc>
          <w:tcPr>
            <w:tcW w:type="dxa" w:w="4320"/>
          </w:tcPr>
          <w:p>
            <w:r>
              <w:t>${{Platform_Fee_Monthly}}/month</w:t>
            </w:r>
          </w:p>
        </w:tc>
      </w:tr>
      <w:tr>
        <w:tc>
          <w:tcPr>
            <w:tcW w:type="dxa" w:w="4320"/>
          </w:tcPr>
          <w:p>
            <w:r>
              <w:t>Add-ons</w:t>
            </w:r>
          </w:p>
        </w:tc>
        <w:tc>
          <w:tcPr>
            <w:tcW w:type="dxa" w:w="4320"/>
          </w:tcPr>
          <w:p>
            <w:r>
              <w:t>${{Addons_List}}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50% on signature, 50% on go-live; platform fees net 30</w:t>
            </w:r>
          </w:p>
        </w:tc>
      </w:tr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{{Term_Months}} months, then month-to-month with 30-day notice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