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rPr>
        <w:t xml:space="preserve">THE CASE FOR A SOMERS TOWN CONSERVATION AREA </w:t>
      </w:r>
    </w:p>
    <w:p>
      <w:pPr>
        <w:pStyle w:val="Normal"/>
        <w:jc w:val="center"/>
        <w:rPr/>
      </w:pPr>
      <w:r>
        <w:rPr>
          <w:b/>
          <w:bCs/>
        </w:rPr>
        <w:t xml:space="preserve">EVOLUTION OF SOCIAL RENTED HOUSING IN THE 20TH CENTURY </w:t>
      </w:r>
      <w:r>
        <w:rPr/>
        <w:t xml:space="preserve"> </w:t>
      </w:r>
    </w:p>
    <w:p>
      <w:pPr>
        <w:pStyle w:val="Normal"/>
        <w:jc w:val="left"/>
        <w:rPr>
          <w:sz w:val="12"/>
          <w:szCs w:val="12"/>
        </w:rPr>
      </w:pPr>
      <w:r>
        <w:rPr>
          <w:sz w:val="12"/>
          <w:szCs w:val="12"/>
        </w:rPr>
      </w:r>
    </w:p>
    <w:p>
      <w:pPr>
        <w:pStyle w:val="Normal"/>
        <w:jc w:val="left"/>
        <w:rPr>
          <w:b/>
          <w:bCs/>
        </w:rPr>
      </w:pPr>
      <w:r>
        <w:rPr>
          <w:b/>
          <w:bCs/>
        </w:rPr>
        <w:t>INTRODUCTION</w:t>
      </w:r>
    </w:p>
    <w:p>
      <w:pPr>
        <w:pStyle w:val="Normal"/>
        <w:jc w:val="left"/>
        <w:rPr>
          <w:b w:val="false"/>
          <w:bCs w:val="false"/>
        </w:rPr>
      </w:pPr>
      <w:r>
        <w:rPr>
          <w:b w:val="false"/>
          <w:bCs w:val="false"/>
        </w:rPr>
        <w:t xml:space="preserve">A Conservation Area is an area of </w:t>
      </w:r>
      <w:r>
        <w:rPr>
          <w:b/>
          <w:bCs/>
          <w:u w:val="thick"/>
        </w:rPr>
        <w:t>special architectural or historic interest</w:t>
      </w:r>
      <w:r>
        <w:rPr>
          <w:b w:val="false"/>
          <w:bCs w:val="false"/>
          <w:u w:val="none"/>
        </w:rPr>
        <w:t>, the character, appearance or setting of which it is desirable to preserve or enhance. Conservation Areas are normally designated by the Local Planning Authority , however Historic England can designate Conservation Areas in London .</w:t>
      </w:r>
      <w:r>
        <w:rPr>
          <w:b w:val="false"/>
          <w:bCs w:val="false"/>
          <w:i w:val="false"/>
          <w:caps w:val="false"/>
          <w:smallCaps w:val="false"/>
          <w:color w:val="001D35"/>
          <w:spacing w:val="0"/>
          <w:sz w:val="24"/>
          <w:szCs w:val="24"/>
          <w:u w:val="none"/>
        </w:rPr>
        <w:t>The Planning (Listed Buildings and Conservation Areas) Act 1990 is the key legislation that governs Conservation Areas.</w:t>
      </w:r>
      <w:r>
        <w:rPr>
          <w:b w:val="false"/>
          <w:bCs w:val="false"/>
          <w:caps w:val="false"/>
          <w:smallCaps w:val="false"/>
          <w:color w:val="001D35"/>
          <w:spacing w:val="0"/>
          <w:sz w:val="24"/>
          <w:szCs w:val="24"/>
          <w:u w:val="none"/>
        </w:rPr>
        <w:t> </w:t>
      </w:r>
      <w:r>
        <w:rPr>
          <w:b w:val="false"/>
          <w:bCs w:val="false"/>
          <w:sz w:val="24"/>
          <w:szCs w:val="24"/>
          <w:u w:val="none"/>
        </w:rPr>
        <w:t xml:space="preserve"> </w:t>
      </w:r>
    </w:p>
    <w:p>
      <w:pPr>
        <w:pStyle w:val="Normal"/>
        <w:jc w:val="left"/>
        <w:rPr>
          <w:sz w:val="12"/>
          <w:szCs w:val="12"/>
        </w:rPr>
      </w:pPr>
      <w:r>
        <w:rPr>
          <w:sz w:val="12"/>
          <w:szCs w:val="12"/>
        </w:rPr>
      </w:r>
    </w:p>
    <w:p>
      <w:pPr>
        <w:pStyle w:val="Normal"/>
        <w:jc w:val="left"/>
        <w:rPr>
          <w:b w:val="false"/>
          <w:bCs w:val="false"/>
        </w:rPr>
      </w:pPr>
      <w:r>
        <w:rPr>
          <w:b w:val="false"/>
          <w:bCs w:val="false"/>
        </w:rPr>
        <w:t xml:space="preserve">Right at the end of the first issue of Spirit ! , a Plea was made to look at the case for a Somers Town Conservation Area. This was neatly summarised in a quote from Professor Esther Leslie , Birkbeck , University of London . </w:t>
      </w:r>
      <w:r>
        <w:rPr>
          <w:b/>
          <w:bCs/>
        </w:rPr>
        <w:t xml:space="preserve">“No more destruction should occur, because there are some remarkable buildings here, significant for the history of social reform , the development of social housing policy and delivery over the last 100 years”  </w:t>
      </w:r>
    </w:p>
    <w:p>
      <w:pPr>
        <w:pStyle w:val="Normal"/>
        <w:jc w:val="left"/>
        <w:rPr>
          <w:b w:val="false"/>
          <w:bCs w:val="false"/>
        </w:rPr>
      </w:pPr>
      <w:r>
        <w:rPr>
          <w:b w:val="false"/>
          <w:bCs w:val="false"/>
        </w:rPr>
      </w:r>
    </w:p>
    <w:p>
      <w:pPr>
        <w:pStyle w:val="Normal"/>
        <w:jc w:val="left"/>
        <w:rPr>
          <w:b w:val="false"/>
          <w:bCs w:val="false"/>
        </w:rPr>
      </w:pPr>
      <w:r>
        <w:rPr>
          <w:b w:val="false"/>
          <w:bCs w:val="false"/>
        </w:rPr>
        <w:t xml:space="preserve">As an inner city neighbourhood lying between Euston and St Pancras, the joint threats of gentrification, property development and HS2 works are real and dramatic. Not only is the physical fabric of Somers Town under attack but so is the existing social and economic fabric !  </w:t>
      </w:r>
    </w:p>
    <w:p>
      <w:pPr>
        <w:pStyle w:val="Normal"/>
        <w:jc w:val="left"/>
        <w:rPr>
          <w:b/>
          <w:bCs/>
          <w:sz w:val="12"/>
          <w:szCs w:val="12"/>
        </w:rPr>
      </w:pPr>
      <w:r>
        <w:rPr>
          <w:b/>
          <w:bCs/>
          <w:sz w:val="12"/>
          <w:szCs w:val="12"/>
        </w:rPr>
      </w:r>
    </w:p>
    <w:p>
      <w:pPr>
        <w:pStyle w:val="Normal"/>
        <w:jc w:val="left"/>
        <w:rPr>
          <w:b w:val="false"/>
          <w:bCs w:val="false"/>
        </w:rPr>
      </w:pPr>
      <w:r>
        <w:rPr>
          <w:b/>
          <w:bCs/>
          <w:u w:val="thick"/>
        </w:rPr>
        <w:t>Somers Town is of special historic interest</w:t>
      </w:r>
      <w:r>
        <w:rPr>
          <w:b w:val="false"/>
          <w:bCs w:val="false"/>
        </w:rPr>
        <w:t>. In just a relatively short walk around the neighbourhood one can travel in time, from housing built under the Housing of the Working Classes Act 1890, to slum clearance and the resulting work of social reformers like Basil Jellicoe and Irene Barclay in the 1930;s and 40’s, to “public consultation” and the challenges of estate regeneration and “community investment” in the 21</w:t>
      </w:r>
      <w:r>
        <w:rPr>
          <w:b w:val="false"/>
          <w:bCs w:val="false"/>
          <w:vertAlign w:val="superscript"/>
        </w:rPr>
        <w:t>st</w:t>
      </w:r>
      <w:r>
        <w:rPr>
          <w:b w:val="false"/>
          <w:bCs w:val="false"/>
        </w:rPr>
        <w:t xml:space="preserve"> century. En route we can see examples of work and styles from “arts and crafts” to semi Radburn to “high rise” by a wide variety of architects, including Span (Eric Lyons) and Cooks Camden (Peter Tabori) . In the process we can also see changing approaches to funding and delivery of social housing emerge before our very eyes.</w:t>
      </w:r>
    </w:p>
    <w:p>
      <w:pPr>
        <w:pStyle w:val="Normal"/>
        <w:jc w:val="left"/>
        <w:rPr>
          <w:b w:val="false"/>
          <w:bCs w:val="false"/>
          <w:sz w:val="12"/>
          <w:szCs w:val="12"/>
        </w:rPr>
      </w:pPr>
      <w:r>
        <w:rPr>
          <w:b w:val="false"/>
          <w:bCs w:val="false"/>
          <w:sz w:val="12"/>
          <w:szCs w:val="12"/>
        </w:rPr>
      </w:r>
    </w:p>
    <w:p>
      <w:pPr>
        <w:pStyle w:val="Normal"/>
        <w:jc w:val="left"/>
        <w:rPr/>
      </w:pPr>
      <w:r>
        <w:rPr>
          <w:b/>
          <w:bCs/>
        </w:rPr>
        <w:t xml:space="preserve">THE CASE FOR CONSERVATION DESIGNATION </w:t>
      </w:r>
    </w:p>
    <w:p>
      <w:pPr>
        <w:pStyle w:val="Normal"/>
        <w:numPr>
          <w:ilvl w:val="0"/>
          <w:numId w:val="1"/>
        </w:numPr>
        <w:jc w:val="left"/>
        <w:rPr/>
      </w:pPr>
      <w:hyperlink r:id="rId2">
        <w:r>
          <w:rPr>
            <w:rStyle w:val="Style9"/>
            <w:b w:val="false"/>
            <w:bCs w:val="false"/>
            <w:color w:val="000080"/>
            <w:u w:val="single"/>
            <w:lang w:val="zxx" w:eastAsia="zxx" w:bidi="zxx"/>
          </w:rPr>
          <w:t>https://historicengland.org.uk/images-books/publications/conservation-area-appraisal-designation-management-advice-note-1/</w:t>
        </w:r>
      </w:hyperlink>
      <w:r>
        <w:rPr>
          <w:b w:val="false"/>
          <w:bCs w:val="false"/>
        </w:rPr>
        <w:t xml:space="preserve">    08.02.2019</w:t>
      </w:r>
    </w:p>
    <w:p>
      <w:pPr>
        <w:pStyle w:val="Normal"/>
        <w:numPr>
          <w:ilvl w:val="0"/>
          <w:numId w:val="1"/>
        </w:numPr>
        <w:jc w:val="left"/>
        <w:rPr/>
      </w:pPr>
      <w:hyperlink r:id="rId3">
        <w:r>
          <w:rPr>
            <w:rStyle w:val="Style9"/>
            <w:b w:val="false"/>
            <w:bCs w:val="false"/>
            <w:color w:val="000080"/>
            <w:u w:val="single"/>
            <w:lang w:val="zxx" w:eastAsia="zxx" w:bidi="zxx"/>
          </w:rPr>
          <w:t>https://historicengland.org.uk/images-books/publications/understanding-place-historic-area-assessments/</w:t>
        </w:r>
      </w:hyperlink>
      <w:r>
        <w:rPr>
          <w:b w:val="false"/>
          <w:bCs w:val="false"/>
        </w:rPr>
        <w:t xml:space="preserve">  07.04.2017</w:t>
      </w:r>
    </w:p>
    <w:p>
      <w:pPr>
        <w:pStyle w:val="Normal"/>
        <w:jc w:val="left"/>
        <w:rPr>
          <w:b w:val="false"/>
          <w:bCs w:val="false"/>
        </w:rPr>
      </w:pPr>
      <w:r>
        <w:rPr>
          <w:b w:val="false"/>
          <w:bCs w:val="false"/>
        </w:rPr>
        <w:t xml:space="preserve">      </w:t>
      </w:r>
      <w:r>
        <w:rPr>
          <w:b w:val="false"/>
          <w:bCs w:val="false"/>
        </w:rPr>
        <w:t xml:space="preserve">3   </w:t>
      </w:r>
      <w:r>
        <w:rPr>
          <w:b w:val="false"/>
          <w:bCs w:val="false"/>
          <w:color w:val="000000"/>
        </w:rPr>
        <w:t>https://fet.uwe.ac.uk/conweb/house_ages/council_housing/print.htm</w:t>
      </w:r>
    </w:p>
    <w:p>
      <w:pPr>
        <w:pStyle w:val="Normal"/>
        <w:jc w:val="left"/>
        <w:rPr>
          <w:sz w:val="12"/>
          <w:szCs w:val="12"/>
        </w:rPr>
      </w:pPr>
      <w:r>
        <w:rPr>
          <w:sz w:val="12"/>
          <w:szCs w:val="12"/>
        </w:rPr>
      </w:r>
    </w:p>
    <w:p>
      <w:pPr>
        <w:pStyle w:val="Normal"/>
        <w:jc w:val="left"/>
        <w:rPr>
          <w:sz w:val="24"/>
          <w:szCs w:val="24"/>
        </w:rPr>
      </w:pPr>
      <w:r>
        <w:rPr>
          <w:sz w:val="24"/>
          <w:szCs w:val="24"/>
        </w:rPr>
        <w:t>Critically the Advice Note identifies a number of questions of particular relevance in assessing the historic interest of an area . These include :-  “Does the area represent or illustrate national or regional social and economic historical themes such as developments in employment, land ownership, trade, administration and religious and civic life ?”</w:t>
      </w:r>
    </w:p>
    <w:p>
      <w:pPr>
        <w:pStyle w:val="Normal"/>
        <w:jc w:val="left"/>
        <w:rPr>
          <w:sz w:val="12"/>
          <w:szCs w:val="12"/>
        </w:rPr>
      </w:pPr>
      <w:r>
        <w:rPr>
          <w:sz w:val="12"/>
          <w:szCs w:val="12"/>
        </w:rPr>
      </w:r>
    </w:p>
    <w:p>
      <w:pPr>
        <w:pStyle w:val="Normal"/>
        <w:jc w:val="left"/>
        <w:rPr>
          <w:b w:val="false"/>
          <w:bCs w:val="false"/>
        </w:rPr>
      </w:pPr>
      <w:r>
        <w:rPr>
          <w:b w:val="false"/>
          <w:bCs w:val="false"/>
        </w:rPr>
        <w:t>Slum clearance and the provision of social housing throughout the 20</w:t>
      </w:r>
      <w:r>
        <w:rPr>
          <w:b w:val="false"/>
          <w:bCs w:val="false"/>
          <w:vertAlign w:val="superscript"/>
        </w:rPr>
        <w:t>th</w:t>
      </w:r>
      <w:r>
        <w:rPr>
          <w:b w:val="false"/>
          <w:bCs w:val="false"/>
        </w:rPr>
        <w:t xml:space="preserve"> Century is one such vitally important theme which , almost by definition, intersects with developments in land ownership, trade, administration, and religious and civic life . In these terms the case for Conservation lies not so much in Architecture as in the special social , economic and political histories revealed as funding and delivery of Social Rented Housing evolved in Somers Town over the 20</w:t>
      </w:r>
      <w:r>
        <w:rPr>
          <w:b w:val="false"/>
          <w:bCs w:val="false"/>
          <w:vertAlign w:val="superscript"/>
        </w:rPr>
        <w:t>th</w:t>
      </w:r>
      <w:r>
        <w:rPr>
          <w:b w:val="false"/>
          <w:bCs w:val="false"/>
        </w:rPr>
        <w:t xml:space="preserve"> century</w:t>
      </w:r>
    </w:p>
    <w:p>
      <w:pPr>
        <w:pStyle w:val="Normal"/>
        <w:jc w:val="left"/>
        <w:rPr>
          <w:sz w:val="12"/>
          <w:szCs w:val="12"/>
        </w:rPr>
      </w:pPr>
      <w:r>
        <w:rPr>
          <w:sz w:val="12"/>
          <w:szCs w:val="12"/>
        </w:rPr>
      </w:r>
    </w:p>
    <w:p>
      <w:pPr>
        <w:pStyle w:val="Normal"/>
        <w:jc w:val="left"/>
        <w:rPr>
          <w:b w:val="false"/>
          <w:bCs w:val="false"/>
        </w:rPr>
      </w:pPr>
      <w:r>
        <w:rPr>
          <w:b w:val="false"/>
          <w:bCs w:val="false"/>
          <w:u w:val="none"/>
        </w:rPr>
        <w:t>Somers Town encapsulates in a single accessible and compact Neighbourhood  :-</w:t>
      </w:r>
    </w:p>
    <w:tbl>
      <w:tblPr>
        <w:tblW w:w="9638" w:type="dxa"/>
        <w:jc w:val="left"/>
        <w:tblInd w:w="2" w:type="dxa"/>
        <w:tblLayout w:type="fixed"/>
        <w:tblCellMar>
          <w:top w:w="55" w:type="dxa"/>
          <w:left w:w="2" w:type="dxa"/>
          <w:bottom w:w="55" w:type="dxa"/>
          <w:right w:w="50" w:type="dxa"/>
        </w:tblCellMar>
      </w:tblPr>
      <w:tblGrid>
        <w:gridCol w:w="9638"/>
      </w:tblGrid>
      <w:tr>
        <w:trPr/>
        <w:tc>
          <w:tcPr>
            <w:tcW w:w="9638" w:type="dxa"/>
            <w:tcBorders>
              <w:top w:val="single" w:sz="2" w:space="0" w:color="000001"/>
              <w:left w:val="single" w:sz="2" w:space="0" w:color="000001"/>
              <w:bottom w:val="single" w:sz="2" w:space="0" w:color="000001"/>
              <w:right w:val="single" w:sz="2" w:space="0" w:color="000001"/>
            </w:tcBorders>
            <w:shd w:fill="auto" w:val="clear"/>
          </w:tcPr>
          <w:p>
            <w:pPr>
              <w:pStyle w:val="TableContents"/>
              <w:numPr>
                <w:ilvl w:val="0"/>
                <w:numId w:val="2"/>
              </w:numPr>
              <w:rPr>
                <w:b w:val="false"/>
                <w:bCs w:val="false"/>
              </w:rPr>
            </w:pPr>
            <w:r>
              <w:rPr>
                <w:b w:val="false"/>
                <w:bCs w:val="false"/>
              </w:rPr>
              <w:t>the evolving story of provision of Social Housing in London / UK 1900 – 2020 evidenced by maps, photographic, written and oral records , and by</w:t>
            </w:r>
          </w:p>
          <w:p>
            <w:pPr>
              <w:pStyle w:val="TableContents"/>
              <w:numPr>
                <w:ilvl w:val="0"/>
                <w:numId w:val="2"/>
              </w:numPr>
              <w:rPr>
                <w:b w:val="false"/>
                <w:bCs w:val="false"/>
              </w:rPr>
            </w:pPr>
            <w:r>
              <w:rPr>
                <w:b w:val="false"/>
                <w:bCs w:val="false"/>
              </w:rPr>
              <w:t>the range / evolution of criteria for slum clearance, and objectives  for redevelopment / new build / regeneration over the period 1900 – 2020.</w:t>
            </w:r>
          </w:p>
          <w:p>
            <w:pPr>
              <w:pStyle w:val="TableContents"/>
              <w:numPr>
                <w:ilvl w:val="0"/>
                <w:numId w:val="2"/>
              </w:numPr>
              <w:rPr>
                <w:b w:val="false"/>
                <w:bCs w:val="false"/>
              </w:rPr>
            </w:pPr>
            <w:r>
              <w:rPr>
                <w:b w:val="false"/>
                <w:bCs w:val="false"/>
              </w:rPr>
              <w:t>the range / evolution of planning, design, construction and management styles and processes ; funding and provider – delivery vehicles, available for this purpose 1900 –2020.</w:t>
            </w:r>
          </w:p>
          <w:p>
            <w:pPr>
              <w:pStyle w:val="TableContents"/>
              <w:numPr>
                <w:ilvl w:val="0"/>
                <w:numId w:val="2"/>
              </w:numPr>
              <w:rPr>
                <w:b w:val="false"/>
                <w:bCs w:val="false"/>
              </w:rPr>
            </w:pPr>
            <w:r>
              <w:rPr>
                <w:b w:val="false"/>
                <w:bCs w:val="false"/>
              </w:rPr>
              <w:t>the record of work by highly influential architects, across a wide variety of traditional and modernist new housing styles / layouts . London / UK 1900 – 2020.</w:t>
            </w:r>
          </w:p>
          <w:p>
            <w:pPr>
              <w:pStyle w:val="TableContents"/>
              <w:numPr>
                <w:ilvl w:val="0"/>
                <w:numId w:val="2"/>
              </w:numPr>
              <w:rPr>
                <w:b w:val="false"/>
                <w:bCs w:val="false"/>
              </w:rPr>
            </w:pPr>
            <w:r>
              <w:rPr>
                <w:b w:val="false"/>
                <w:bCs w:val="false"/>
              </w:rPr>
              <w:t>the intersection with developments in land ownership, administration, religious and civic life . London / UK 1900 – 2020.</w:t>
            </w:r>
          </w:p>
        </w:tc>
      </w:tr>
    </w:tbl>
    <w:p>
      <w:pPr>
        <w:pStyle w:val="Normal"/>
        <w:jc w:val="left"/>
        <w:rPr>
          <w:b w:val="false"/>
          <w:bCs w:val="false"/>
          <w:u w:val="none"/>
        </w:rPr>
      </w:pPr>
      <w:r>
        <w:rPr>
          <w:b w:val="false"/>
          <w:bCs w:val="false"/>
          <w:u w:val="none"/>
        </w:rPr>
      </w:r>
    </w:p>
    <w:p>
      <w:pPr>
        <w:pStyle w:val="Normal"/>
        <w:jc w:val="left"/>
        <w:rPr>
          <w:b w:val="false"/>
          <w:bCs w:val="false"/>
          <w:u w:val="none"/>
        </w:rPr>
      </w:pPr>
      <w:r>
        <w:rPr>
          <w:b/>
          <w:bCs/>
          <w:u w:val="none"/>
        </w:rPr>
        <w:t>A BRIEF HISTORY 1750 – 1900</w:t>
      </w:r>
    </w:p>
    <w:tbl>
      <w:tblPr>
        <w:tblW w:w="9638" w:type="dxa"/>
        <w:jc w:val="left"/>
        <w:tblInd w:w="47" w:type="dxa"/>
        <w:tblLayout w:type="fixed"/>
        <w:tblCellMar>
          <w:top w:w="55" w:type="dxa"/>
          <w:left w:w="45" w:type="dxa"/>
          <w:bottom w:w="55" w:type="dxa"/>
          <w:right w:w="55" w:type="dxa"/>
        </w:tblCellMar>
      </w:tblPr>
      <w:tblGrid>
        <w:gridCol w:w="9638"/>
      </w:tblGrid>
      <w:tr>
        <w:trPr/>
        <w:tc>
          <w:tcPr>
            <w:tcW w:w="9638" w:type="dxa"/>
            <w:tcBorders>
              <w:top w:val="single" w:sz="2" w:space="0" w:color="000001"/>
              <w:left w:val="single" w:sz="2" w:space="0" w:color="000001"/>
              <w:bottom w:val="single" w:sz="2" w:space="0" w:color="000001"/>
              <w:right w:val="single" w:sz="2" w:space="0" w:color="000001"/>
            </w:tcBorders>
            <w:shd w:fill="auto" w:val="clear"/>
          </w:tcPr>
          <w:p>
            <w:pPr>
              <w:pStyle w:val="BodyText"/>
              <w:spacing w:lineRule="auto" w:line="240"/>
              <w:jc w:val="left"/>
              <w:rPr/>
            </w:pPr>
            <w:r>
              <w:rPr>
                <w:b w:val="false"/>
                <w:bCs w:val="false"/>
                <w:u w:val="none"/>
              </w:rPr>
              <w:t>History based largely on  “Somers Town : A record of change” by Malcolm Holmes . LBC Libraries and Arts Dept 1985 ; and Streets of St Pancras.  Camden History Society 2002.</w:t>
            </w:r>
          </w:p>
          <w:p>
            <w:pPr>
              <w:pStyle w:val="BodyText"/>
              <w:spacing w:lineRule="auto" w:line="240" w:before="0" w:after="140"/>
              <w:jc w:val="left"/>
              <w:rPr/>
            </w:pPr>
            <w:r>
              <w:rPr>
                <w:b w:val="false"/>
                <w:bCs w:val="false"/>
                <w:u w:val="none"/>
              </w:rPr>
              <w:t xml:space="preserve">Also : https://en.wikipedia.org/wiki/SomersTown,London, and                           </w:t>
            </w:r>
            <w:r>
              <w:fldChar w:fldCharType="begin"/>
            </w:r>
            <w:r>
              <w:rPr>
                <w:rStyle w:val="Style9"/>
                <w:u w:val="none"/>
                <w:b w:val="false"/>
                <w:bCs w:val="false"/>
                <w:color w:val="000000"/>
                <w:lang w:val="zxx" w:eastAsia="zxx" w:bidi="zxx"/>
              </w:rPr>
              <w:instrText xml:space="preserve"> HYPERLINK "https://www.british-history.ac.uk/survey-london/vol24/pt4/pp118-123" \l "highlight-first"</w:instrText>
            </w:r>
            <w:r>
              <w:rPr>
                <w:rStyle w:val="Style9"/>
                <w:u w:val="none"/>
                <w:b w:val="false"/>
                <w:bCs w:val="false"/>
                <w:color w:val="000000"/>
                <w:lang w:val="zxx" w:eastAsia="zxx" w:bidi="zxx"/>
              </w:rPr>
              <w:fldChar w:fldCharType="separate"/>
            </w:r>
            <w:r>
              <w:rPr>
                <w:rStyle w:val="Style9"/>
                <w:b w:val="false"/>
                <w:bCs w:val="false"/>
                <w:color w:val="000000"/>
                <w:u w:val="none"/>
                <w:lang w:val="zxx" w:eastAsia="zxx" w:bidi="zxx"/>
              </w:rPr>
              <w:t>https://www.british-history.ac.uk/survey-london/vol24/pt4/pp118-123#highlight-first</w:t>
            </w:r>
            <w:r>
              <w:rPr>
                <w:rStyle w:val="Style9"/>
                <w:u w:val="none"/>
                <w:b w:val="false"/>
                <w:bCs w:val="false"/>
                <w:color w:val="000000"/>
                <w:lang w:val="zxx" w:eastAsia="zxx" w:bidi="zxx"/>
              </w:rPr>
              <w:fldChar w:fldCharType="end"/>
            </w:r>
          </w:p>
        </w:tc>
      </w:tr>
    </w:tbl>
    <w:p>
      <w:pPr>
        <w:pStyle w:val="Normal"/>
        <w:jc w:val="left"/>
        <w:rPr>
          <w:b/>
          <w:bCs/>
        </w:rPr>
      </w:pPr>
      <w:r>
        <w:rPr>
          <w:b/>
          <w:bCs/>
        </w:rPr>
      </w:r>
    </w:p>
    <w:p>
      <w:pPr>
        <w:pStyle w:val="BodyText"/>
        <w:spacing w:lineRule="auto" w:line="240" w:before="0" w:after="140"/>
        <w:jc w:val="left"/>
        <w:rPr>
          <w:b w:val="false"/>
          <w:bCs w:val="false"/>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5356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6120130" cy="3535680"/>
                    </a:xfrm>
                    <a:prstGeom prst="rect">
                      <a:avLst/>
                    </a:prstGeom>
                    <a:noFill/>
                  </pic:spPr>
                </pic:pic>
              </a:graphicData>
            </a:graphic>
          </wp:anchor>
        </w:drawing>
      </w:r>
      <w:r>
        <w:rPr>
          <w:b w:val="false"/>
          <w:bCs w:val="false"/>
          <w:i/>
          <w:caps w:val="false"/>
          <w:smallCaps w:val="false"/>
          <w:color w:val="000000"/>
          <w:spacing w:val="0"/>
          <w:sz w:val="24"/>
          <w:szCs w:val="24"/>
          <w:u w:val="none"/>
        </w:rPr>
        <w:t>London Going out of Town</w:t>
      </w:r>
      <w:r>
        <w:rPr>
          <w:b w:val="false"/>
          <w:bCs w:val="false"/>
          <w:i w:val="false"/>
          <w:caps w:val="false"/>
          <w:smallCaps w:val="false"/>
          <w:color w:val="000000"/>
          <w:spacing w:val="0"/>
          <w:sz w:val="24"/>
          <w:szCs w:val="24"/>
          <w:u w:val="none"/>
        </w:rPr>
        <w:t>. George Cruikshank, 1829. The "robot" house builders are moving through Islington towards Hampstead.</w:t>
      </w:r>
    </w:p>
    <w:p>
      <w:pPr>
        <w:pStyle w:val="Normal"/>
        <w:jc w:val="left"/>
        <w:rPr/>
      </w:pPr>
      <w:r>
        <w:rPr>
          <w:b w:val="false"/>
          <w:bCs w:val="false"/>
          <w:i w:val="false"/>
          <w:caps w:val="false"/>
          <w:smallCaps w:val="false"/>
          <w:color w:val="222222"/>
          <w:spacing w:val="0"/>
          <w:sz w:val="24"/>
          <w:szCs w:val="24"/>
          <w:u w:val="none"/>
        </w:rPr>
        <w:t xml:space="preserve">Somers Town was originally within the </w:t>
      </w:r>
      <w:r>
        <w:fldChar w:fldCharType="begin"/>
      </w:r>
      <w:r>
        <w:rPr>
          <w:rStyle w:val="Style9"/>
          <w:smallCaps w:val="false"/>
          <w:caps w:val="false"/>
          <w:dstrike w:val="false"/>
          <w:strike w:val="false"/>
          <w:sz w:val="24"/>
          <w:spacing w:val="0"/>
          <w:i w:val="false"/>
          <w:u w:val="none"/>
          <w:b w:val="false"/>
          <w:effect w:val="none"/>
          <w:szCs w:val="24"/>
          <w:bCs w:val="false"/>
          <w:highlight w:val="white"/>
          <w:color w:val="000000"/>
          <w:lang w:val="zxx" w:eastAsia="zxx" w:bidi="zxx"/>
        </w:rPr>
        <w:instrText xml:space="preserve"> HYPERLINK "https://en.wikipedia.org/wiki/St_Pancras,_London" \l "Ancient_parish"</w:instrText>
      </w:r>
      <w:r>
        <w:rPr>
          <w:rStyle w:val="Style9"/>
          <w:smallCaps w:val="false"/>
          <w:caps w:val="false"/>
          <w:dstrike w:val="false"/>
          <w:strike w:val="false"/>
          <w:sz w:val="24"/>
          <w:spacing w:val="0"/>
          <w:i w:val="false"/>
          <w:u w:val="none"/>
          <w:b w:val="false"/>
          <w:effect w:val="none"/>
          <w:szCs w:val="24"/>
          <w:bCs w:val="false"/>
          <w:highlight w:val="white"/>
          <w:color w:val="000000"/>
          <w:lang w:val="zxx" w:eastAsia="zxx" w:bidi="zxx"/>
        </w:rPr>
        <w:fldChar w:fldCharType="separate"/>
      </w:r>
      <w:r>
        <w:rPr>
          <w:rStyle w:val="Style9"/>
          <w:b w:val="false"/>
          <w:bCs w:val="false"/>
          <w:i w:val="false"/>
          <w:caps w:val="false"/>
          <w:smallCaps w:val="false"/>
          <w:strike w:val="false"/>
          <w:dstrike w:val="false"/>
          <w:color w:val="000000"/>
          <w:spacing w:val="0"/>
          <w:sz w:val="24"/>
          <w:szCs w:val="24"/>
          <w:highlight w:val="white"/>
          <w:u w:val="none"/>
          <w:effect w:val="none"/>
          <w:lang w:val="zxx" w:eastAsia="zxx" w:bidi="zxx"/>
        </w:rPr>
        <w:t>medieval Parish of St Pancras</w:t>
      </w:r>
      <w:r>
        <w:rPr>
          <w:rStyle w:val="Style9"/>
          <w:smallCaps w:val="false"/>
          <w:caps w:val="false"/>
          <w:dstrike w:val="false"/>
          <w:strike w:val="false"/>
          <w:sz w:val="24"/>
          <w:spacing w:val="0"/>
          <w:i w:val="false"/>
          <w:u w:val="none"/>
          <w:b w:val="false"/>
          <w:effect w:val="none"/>
          <w:szCs w:val="24"/>
          <w:bCs w:val="false"/>
          <w:highlight w:val="white"/>
          <w:color w:val="000000"/>
          <w:lang w:val="zxx" w:eastAsia="zxx" w:bidi="zxx"/>
        </w:rPr>
        <w:fldChar w:fldCharType="end"/>
      </w:r>
      <w:r>
        <w:rPr>
          <w:b w:val="false"/>
          <w:bCs w:val="false"/>
          <w:i w:val="false"/>
          <w:caps w:val="false"/>
          <w:smallCaps w:val="false"/>
          <w:color w:val="000000"/>
          <w:spacing w:val="0"/>
          <w:sz w:val="24"/>
          <w:szCs w:val="24"/>
          <w:u w:val="none"/>
        </w:rPr>
        <w:t xml:space="preserve">, </w:t>
      </w:r>
      <w:hyperlink r:id="rId5">
        <w:r>
          <w:rPr>
            <w:rStyle w:val="Style9"/>
            <w:b w:val="false"/>
            <w:bCs w:val="false"/>
            <w:i w:val="false"/>
            <w:caps w:val="false"/>
            <w:smallCaps w:val="false"/>
            <w:strike w:val="false"/>
            <w:dstrike w:val="false"/>
            <w:color w:val="000000"/>
            <w:spacing w:val="0"/>
            <w:sz w:val="24"/>
            <w:szCs w:val="24"/>
            <w:highlight w:val="white"/>
            <w:u w:val="none"/>
            <w:effect w:val="none"/>
            <w:lang w:val="zxx" w:eastAsia="zxx" w:bidi="zxx"/>
          </w:rPr>
          <w:t>Middlesex</w:t>
        </w:r>
      </w:hyperlink>
      <w:r>
        <w:rPr>
          <w:b w:val="false"/>
          <w:bCs w:val="false"/>
          <w:i w:val="false"/>
          <w:caps w:val="false"/>
          <w:smallCaps w:val="false"/>
          <w:color w:val="222222"/>
          <w:spacing w:val="0"/>
          <w:sz w:val="24"/>
          <w:szCs w:val="24"/>
          <w:u w:val="none"/>
        </w:rPr>
        <w:t>, which in 1900 became the Metropolitan Borough of St Pancras</w:t>
      </w:r>
      <w:r>
        <w:rPr>
          <w:b w:val="false"/>
          <w:bCs w:val="false"/>
          <w:sz w:val="24"/>
          <w:szCs w:val="24"/>
          <w:u w:val="none"/>
        </w:rPr>
        <w:t xml:space="preserve"> . 1756 saw the opening of the New Road, a toll road, subsequently renamed, in 1857, Euston Road. This was London’s first by-pass skirting the dense narrow streets to the south, allowing much easier movement of cattle , soldiers, post and general travellers into and out of the City. The largely agricultural land to the immediate north was owned by Charles Cocks – first Baron Somers (1725 – 1806). In</w:t>
      </w:r>
      <w:r>
        <w:rPr>
          <w:b w:val="false"/>
          <w:bCs w:val="false"/>
          <w:i w:val="false"/>
          <w:caps w:val="false"/>
          <w:smallCaps w:val="false"/>
          <w:color w:val="222222"/>
          <w:spacing w:val="0"/>
          <w:sz w:val="24"/>
          <w:szCs w:val="24"/>
          <w:u w:val="none"/>
        </w:rPr>
        <w:t>1784, the Polygon (</w:t>
      </w:r>
      <w:r>
        <w:rPr>
          <w:b w:val="false"/>
          <w:bCs w:val="false"/>
          <w:i w:val="false"/>
          <w:caps w:val="false"/>
          <w:smallCaps w:val="false"/>
          <w:color w:val="333333"/>
          <w:spacing w:val="0"/>
          <w:sz w:val="24"/>
          <w:szCs w:val="24"/>
          <w:u w:val="none"/>
        </w:rPr>
        <w:t>a 15-sided block comprising 32 houses</w:t>
      </w:r>
      <w:r>
        <w:rPr>
          <w:b w:val="false"/>
          <w:bCs w:val="false"/>
          <w:i w:val="false"/>
          <w:caps w:val="false"/>
          <w:smallCaps w:val="false"/>
          <w:color w:val="222222"/>
          <w:spacing w:val="0"/>
          <w:sz w:val="24"/>
          <w:szCs w:val="24"/>
          <w:u w:val="none"/>
        </w:rPr>
        <w:t>) was built amid fields, brick works,  dust heaps,  and market gardens. The area was initially fashionable and appears to have appealed to middle class people fleeing the French Revolution.</w:t>
      </w:r>
    </w:p>
    <w:p>
      <w:pPr>
        <w:pStyle w:val="Normal"/>
        <w:jc w:val="left"/>
        <w:rPr>
          <w:b w:val="false"/>
          <w:bCs w:val="false"/>
          <w:i w:val="false"/>
          <w:i w:val="false"/>
          <w:caps w:val="false"/>
          <w:smallCaps w:val="false"/>
          <w:color w:val="222222"/>
          <w:spacing w:val="0"/>
          <w:u w:val="none"/>
        </w:rPr>
      </w:pPr>
      <w:r>
        <w:rPr>
          <w:b w:val="false"/>
          <w:bCs w:val="false"/>
          <w:i w:val="false"/>
          <w:caps w:val="false"/>
          <w:smallCaps w:val="false"/>
          <w:color w:val="222222"/>
          <w:spacing w:val="0"/>
          <w:u w:val="none"/>
        </w:rPr>
      </w:r>
    </w:p>
    <w:p>
      <w:pPr>
        <w:pStyle w:val="Normal"/>
        <w:jc w:val="left"/>
        <w:rPr/>
      </w:pPr>
      <w:r>
        <w:rPr>
          <w:b w:val="false"/>
          <w:bCs w:val="false"/>
          <w:i w:val="false"/>
          <w:caps w:val="false"/>
          <w:smallCaps w:val="false"/>
          <w:color w:val="222222"/>
          <w:spacing w:val="0"/>
          <w:sz w:val="24"/>
          <w:szCs w:val="24"/>
          <w:u w:val="none"/>
        </w:rPr>
        <w:t>The Polygon deteriorated socially as the surrounding land was subsequently sold off in smaller lots for cheaper housing, especially after the start of construction in the 1830s of the railway lines into Euston, St Pancras and King's Cross. In this period the area housed a large transient population of labourers and the population density of the area soared. By the late 19th century most of the houses were in multiple occupation, and overcrowding was severe with whole families sometimes living in one room, as recorded in the social surveys of Charles Booth and Irene Barclay.</w:t>
      </w:r>
    </w:p>
    <w:p>
      <w:pPr>
        <w:pStyle w:val="Normal"/>
        <w:jc w:val="left"/>
        <w:rPr>
          <w:rFonts w:ascii="Liberation Sans" w:hAnsi="Liberation Sans"/>
          <w:b w:val="false"/>
          <w:bCs w:val="false"/>
          <w:i w:val="false"/>
          <w:i w:val="false"/>
          <w:caps w:val="false"/>
          <w:smallCaps w:val="false"/>
          <w:color w:val="222222"/>
          <w:spacing w:val="0"/>
          <w:sz w:val="12"/>
          <w:szCs w:val="12"/>
          <w:u w:val="none"/>
        </w:rPr>
      </w:pPr>
      <w:r>
        <w:rPr>
          <w:rFonts w:ascii="Liberation Sans" w:hAnsi="Liberation Sans"/>
          <w:b w:val="false"/>
          <w:bCs w:val="false"/>
          <w:i w:val="false"/>
          <w:caps w:val="false"/>
          <w:smallCaps w:val="false"/>
          <w:color w:val="222222"/>
          <w:spacing w:val="0"/>
          <w:sz w:val="12"/>
          <w:szCs w:val="12"/>
          <w:u w:val="none"/>
        </w:rPr>
      </w:r>
    </w:p>
    <w:p>
      <w:pPr>
        <w:pStyle w:val="Normal"/>
        <w:jc w:val="left"/>
        <w:rPr>
          <w:rFonts w:ascii="Liberation Serif" w:hAnsi="Liberation Serif"/>
          <w:b/>
          <w:bCs/>
          <w:i w:val="false"/>
          <w:i w:val="false"/>
          <w:caps w:val="false"/>
          <w:smallCaps w:val="false"/>
          <w:color w:val="222222"/>
          <w:spacing w:val="0"/>
          <w:sz w:val="24"/>
          <w:szCs w:val="24"/>
          <w:u w:val="none"/>
        </w:rPr>
      </w:pPr>
      <w:r>
        <w:rPr>
          <w:b/>
          <w:bCs/>
          <w:i w:val="false"/>
          <w:caps w:val="false"/>
          <w:smallCaps w:val="false"/>
          <w:color w:val="222222"/>
          <w:spacing w:val="0"/>
          <w:sz w:val="24"/>
          <w:szCs w:val="24"/>
          <w:u w:val="none"/>
        </w:rPr>
        <w:t xml:space="preserve">SLUM CLEARANCE / REDEVELOPMENT : PROVISION OF SOCIAL HOUSING </w:t>
      </w:r>
      <w:r>
        <w:rPr>
          <w:b w:val="false"/>
          <w:bCs w:val="false"/>
          <w:position w:val="0"/>
          <w:sz w:val="24"/>
          <w:sz w:val="24"/>
          <w:u w:val="none"/>
          <w:vertAlign w:val="baseline"/>
        </w:rPr>
        <w:t xml:space="preserve">Clearance of sub standard Victorian housing was not completed in Somers Town until the 1970’s . A few people still remember what it was like to live as a child / bring up a family under these circumstances. The legacy of community solidarity survives in large measure to this very day !  </w:t>
      </w:r>
    </w:p>
    <w:p>
      <w:pPr>
        <w:pStyle w:val="Normal"/>
        <w:jc w:val="left"/>
        <w:rPr>
          <w:position w:val="0"/>
          <w:sz w:val="12"/>
          <w:sz w:val="12"/>
          <w:szCs w:val="12"/>
          <w:u w:val="none"/>
          <w:vertAlign w:val="baseline"/>
        </w:rPr>
      </w:pPr>
      <w:r>
        <w:rPr>
          <w:position w:val="0"/>
          <w:sz w:val="12"/>
          <w:sz w:val="12"/>
          <w:szCs w:val="12"/>
          <w:u w:val="none"/>
          <w:vertAlign w:val="baseline"/>
        </w:rPr>
      </w:r>
    </w:p>
    <w:p>
      <w:pPr>
        <w:pStyle w:val="Normal"/>
        <w:jc w:val="left"/>
        <w:rPr>
          <w:b/>
          <w:bCs/>
        </w:rPr>
      </w:pPr>
      <w:r>
        <w:rPr>
          <w:b/>
          <w:bCs/>
          <w:position w:val="0"/>
          <w:sz w:val="24"/>
          <w:sz w:val="24"/>
          <w:u w:val="single"/>
          <w:vertAlign w:val="baseline"/>
        </w:rPr>
        <w:t>London County Council (LCC)</w:t>
      </w:r>
    </w:p>
    <w:p>
      <w:pPr>
        <w:pStyle w:val="Normal"/>
        <w:jc w:val="left"/>
        <w:rPr>
          <w:b/>
          <w:bCs/>
        </w:rPr>
      </w:pPr>
      <w:r>
        <w:rPr>
          <w:b/>
          <w:bCs/>
          <w:position w:val="0"/>
          <w:sz w:val="24"/>
          <w:sz w:val="24"/>
          <w:u w:val="single"/>
          <w:vertAlign w:val="baseline"/>
        </w:rPr>
        <w:t>Churchway Scheme : Wellesley, Somerset and Seymour Buildings built 1901 – 1910</w:t>
      </w:r>
    </w:p>
    <w:p>
      <w:pPr>
        <w:pStyle w:val="Normal"/>
        <w:jc w:val="left"/>
        <w:rPr>
          <w:b w:val="false"/>
          <w:bCs w:val="false"/>
        </w:rPr>
      </w:pPr>
      <w:r>
        <w:rPr>
          <w:b w:val="false"/>
          <w:bCs w:val="false"/>
        </w:rPr>
        <w:t>See : “Early LCC Council Housing” Martin Stilwell Aug 2015</w:t>
      </w:r>
    </w:p>
    <w:p>
      <w:pPr>
        <w:pStyle w:val="Normal"/>
        <w:jc w:val="left"/>
        <w:rPr/>
      </w:pPr>
      <w:r>
        <w:rPr>
          <w:rStyle w:val="Hyperlink"/>
          <w:b w:val="false"/>
          <w:bCs w:val="false"/>
        </w:rPr>
        <w:t>http://www.layersoflondon.org/map/records/1666</w:t>
      </w:r>
    </w:p>
    <w:p>
      <w:pPr>
        <w:pStyle w:val="Normal"/>
        <w:jc w:val="left"/>
        <w:rPr>
          <w:b w:val="false"/>
          <w:bCs w:val="false"/>
          <w:sz w:val="12"/>
          <w:szCs w:val="12"/>
        </w:rPr>
      </w:pPr>
      <w:r>
        <w:rPr>
          <w:b w:val="false"/>
          <w:bCs w:val="false"/>
          <w:sz w:val="12"/>
          <w:szCs w:val="12"/>
        </w:rPr>
      </w:r>
    </w:p>
    <w:p>
      <w:pPr>
        <w:pStyle w:val="Normal"/>
        <w:jc w:val="left"/>
        <w:rPr>
          <w:rFonts w:ascii="Liberation Serif" w:hAnsi="Liberation Serif"/>
          <w:b w:val="false"/>
          <w:bCs w:val="false"/>
          <w:sz w:val="24"/>
          <w:szCs w:val="24"/>
        </w:rPr>
      </w:pPr>
      <w:r>
        <w:rPr>
          <w:b w:val="false"/>
          <w:bCs w:val="false"/>
          <w:position w:val="0"/>
          <w:sz w:val="24"/>
          <w:sz w:val="24"/>
          <w:szCs w:val="24"/>
          <w:u w:val="none"/>
          <w:vertAlign w:val="baseline"/>
        </w:rPr>
        <w:t xml:space="preserve">The L.C.C </w:t>
      </w:r>
      <w:r>
        <w:rPr>
          <w:b w:val="false"/>
          <w:bCs/>
          <w:i w:val="false"/>
          <w:caps w:val="false"/>
          <w:smallCaps w:val="false"/>
          <w:color w:val="222222"/>
          <w:spacing w:val="0"/>
          <w:position w:val="0"/>
          <w:sz w:val="24"/>
          <w:sz w:val="24"/>
          <w:szCs w:val="24"/>
          <w:u w:val="none"/>
          <w:vertAlign w:val="baseline"/>
        </w:rPr>
        <w:t>was formed in 1889.  It was the first London-wide general municipal authority to be  directly elected and was replaced in 1965 by the Greater London Council</w:t>
      </w:r>
      <w:r>
        <w:rPr>
          <w:b/>
          <w:bCs/>
          <w:i w:val="false"/>
          <w:caps w:val="false"/>
          <w:smallCaps w:val="false"/>
          <w:color w:val="222222"/>
          <w:spacing w:val="0"/>
          <w:position w:val="0"/>
          <w:sz w:val="24"/>
          <w:sz w:val="24"/>
          <w:szCs w:val="24"/>
          <w:u w:val="none"/>
          <w:vertAlign w:val="baseline"/>
        </w:rPr>
        <w:t xml:space="preserve">  </w:t>
      </w:r>
      <w:r>
        <w:rPr>
          <w:b w:val="false"/>
          <w:bCs w:val="false"/>
          <w:position w:val="0"/>
          <w:sz w:val="24"/>
          <w:sz w:val="24"/>
          <w:szCs w:val="24"/>
          <w:u w:val="none"/>
          <w:vertAlign w:val="baseline"/>
        </w:rPr>
        <w:t>The impetus for slum clearance before WW1 came with Part 1 of the Housing of the Working Classes Act 1890 . In Somers Town this resulted in Wellesley, Somerset and Seymour buildings being built 1901-1905. The decision to redevelop rested in part on relative death rate for the area (St Pancras 20.1 per thousand. Churchway 33.1 per thousand). LCC Architects design was influenced by the Arts and Crafts movement.</w:t>
      </w:r>
    </w:p>
    <w:p>
      <w:pPr>
        <w:pStyle w:val="Normal"/>
        <w:jc w:val="left"/>
        <w:rPr>
          <w:b/>
          <w:bCs/>
          <w:position w:val="0"/>
          <w:sz w:val="20"/>
          <w:sz w:val="20"/>
          <w:u w:val="single"/>
          <w:vertAlign w:val="baseline"/>
        </w:rPr>
      </w:pPr>
      <w:r>
        <w:rPr>
          <w:b/>
          <w:bCs/>
          <w:position w:val="0"/>
          <w:sz w:val="20"/>
          <w:sz w:val="20"/>
          <w:u w:val="single"/>
          <w:vertAlign w:val="baseline"/>
        </w:rPr>
      </w:r>
    </w:p>
    <w:p>
      <w:pPr>
        <w:pStyle w:val="Normal"/>
        <w:jc w:val="left"/>
        <w:rPr/>
      </w:pPr>
      <w:r>
        <w:rPr>
          <w:b/>
          <w:bCs/>
          <w:position w:val="0"/>
          <w:sz w:val="24"/>
          <w:sz w:val="24"/>
          <w:u w:val="single"/>
          <w:vertAlign w:val="baseline"/>
        </w:rPr>
        <w:t xml:space="preserve">LCC. : Chief Architect – G Topham Forest. </w:t>
      </w:r>
    </w:p>
    <w:p>
      <w:pPr>
        <w:pStyle w:val="Normal"/>
        <w:jc w:val="left"/>
        <w:rPr/>
      </w:pPr>
      <w:r>
        <w:rPr>
          <w:b/>
          <w:bCs/>
          <w:position w:val="0"/>
          <w:sz w:val="24"/>
          <w:sz w:val="24"/>
          <w:u w:val="single"/>
          <w:vertAlign w:val="baseline"/>
        </w:rPr>
        <w:t>Ossulston Estate built  1927 – 1931</w:t>
      </w:r>
    </w:p>
    <w:p>
      <w:pPr>
        <w:pStyle w:val="Normal"/>
        <w:jc w:val="left"/>
        <w:rPr/>
      </w:pPr>
      <w:r>
        <w:rPr>
          <w:b w:val="false"/>
          <w:bCs w:val="false"/>
          <w:position w:val="0"/>
          <w:sz w:val="24"/>
          <w:sz w:val="24"/>
          <w:u w:val="none"/>
          <w:vertAlign w:val="baseline"/>
        </w:rPr>
        <w:t xml:space="preserve">See : </w:t>
      </w:r>
      <w:r>
        <w:rPr>
          <w:rStyle w:val="Hyperlink"/>
          <w:b w:val="false"/>
          <w:bCs w:val="false"/>
          <w:position w:val="0"/>
          <w:sz w:val="24"/>
          <w:sz w:val="24"/>
          <w:u w:val="none"/>
          <w:vertAlign w:val="baseline"/>
        </w:rPr>
        <w:t>https://en.wikipedia.org/wiki/Ossulston_Estate</w:t>
      </w:r>
    </w:p>
    <w:p>
      <w:pPr>
        <w:pStyle w:val="Normal"/>
        <w:jc w:val="left"/>
        <w:rPr>
          <w:position w:val="0"/>
          <w:sz w:val="20"/>
          <w:sz w:val="20"/>
          <w:vertAlign w:val="baseline"/>
        </w:rPr>
      </w:pPr>
      <w:r>
        <w:rPr>
          <w:position w:val="0"/>
          <w:sz w:val="20"/>
          <w:sz w:val="20"/>
          <w:vertAlign w:val="baseline"/>
        </w:rPr>
      </w:r>
    </w:p>
    <w:p>
      <w:pPr>
        <w:pStyle w:val="Normal"/>
        <w:jc w:val="left"/>
        <w:rPr/>
      </w:pPr>
      <w:r>
        <w:rPr>
          <w:b w:val="false"/>
          <w:bCs w:val="false"/>
          <w:u w:val="none"/>
        </w:rPr>
        <w:t xml:space="preserve">Following the end of WW1, LCC redeveloped slum housing in this part of Somers Town to rehouse those poor who were not being served by the LCC’s new suburban estates. Consequently it was much denser. Levita House had the first central heating system to be installed by the LCC.  </w:t>
      </w:r>
      <w:r>
        <w:rPr>
          <w:b w:val="false"/>
          <w:bCs w:val="false"/>
          <w:i w:val="false"/>
          <w:caps w:val="false"/>
          <w:smallCaps w:val="false"/>
          <w:color w:val="222222"/>
          <w:spacing w:val="0"/>
          <w:position w:val="0"/>
          <w:sz w:val="24"/>
          <w:sz w:val="24"/>
          <w:szCs w:val="24"/>
          <w:u w:val="none"/>
          <w:vertAlign w:val="baseline"/>
        </w:rPr>
        <w:t xml:space="preserve">The design, by </w:t>
      </w:r>
      <w:hyperlink r:id="rId6">
        <w:r>
          <w:rPr>
            <w:rStyle w:val="Style9"/>
            <w:b w:val="false"/>
            <w:bCs w:val="false"/>
            <w:i w:val="false"/>
            <w:caps w:val="false"/>
            <w:smallCaps w:val="false"/>
            <w:strike w:val="false"/>
            <w:dstrike w:val="false"/>
            <w:color w:val="0B0080"/>
            <w:spacing w:val="0"/>
            <w:position w:val="0"/>
            <w:sz w:val="24"/>
            <w:sz w:val="24"/>
            <w:szCs w:val="24"/>
            <w:highlight w:val="white"/>
            <w:u w:val="none"/>
            <w:effect w:val="none"/>
            <w:vertAlign w:val="baseline"/>
            <w:lang w:val="zxx" w:eastAsia="zxx" w:bidi="zxx"/>
          </w:rPr>
          <w:t>G. Topham Forrest</w:t>
        </w:r>
      </w:hyperlink>
      <w:r>
        <w:rPr>
          <w:b w:val="false"/>
          <w:bCs w:val="false"/>
          <w:i w:val="false"/>
          <w:caps w:val="false"/>
          <w:smallCaps w:val="false"/>
          <w:color w:val="222222"/>
          <w:spacing w:val="0"/>
          <w:position w:val="0"/>
          <w:sz w:val="24"/>
          <w:sz w:val="24"/>
          <w:szCs w:val="24"/>
          <w:u w:val="none"/>
          <w:vertAlign w:val="baseline"/>
        </w:rPr>
        <w:t>,</w:t>
      </w:r>
      <w:r>
        <w:rPr>
          <w:b w:val="false"/>
          <w:bCs w:val="false"/>
          <w:i w:val="false"/>
          <w:caps w:val="false"/>
          <w:smallCaps w:val="false"/>
          <w:strike w:val="false"/>
          <w:dstrike w:val="false"/>
          <w:color w:val="0B0080"/>
          <w:spacing w:val="0"/>
          <w:position w:val="0"/>
          <w:sz w:val="24"/>
          <w:sz w:val="24"/>
          <w:szCs w:val="24"/>
          <w:u w:val="none"/>
          <w:effect w:val="none"/>
          <w:vertAlign w:val="baseline"/>
        </w:rPr>
        <w:t xml:space="preserve"> </w:t>
      </w:r>
      <w:r>
        <w:rPr>
          <w:b w:val="false"/>
          <w:bCs w:val="false"/>
          <w:i w:val="false"/>
          <w:caps w:val="false"/>
          <w:smallCaps w:val="false"/>
          <w:color w:val="222222"/>
          <w:spacing w:val="0"/>
          <w:position w:val="0"/>
          <w:sz w:val="24"/>
          <w:sz w:val="24"/>
          <w:szCs w:val="24"/>
          <w:u w:val="none"/>
          <w:vertAlign w:val="baseline"/>
        </w:rPr>
        <w:t xml:space="preserve">was influenced by Viennese modernist public housing such as </w:t>
      </w:r>
      <w:hyperlink r:id="rId7">
        <w:r>
          <w:rPr>
            <w:rStyle w:val="Style9"/>
            <w:b w:val="false"/>
            <w:bCs w:val="false"/>
            <w:i w:val="false"/>
            <w:caps w:val="false"/>
            <w:smallCaps w:val="false"/>
            <w:strike w:val="false"/>
            <w:dstrike w:val="false"/>
            <w:color w:val="0B0080"/>
            <w:spacing w:val="0"/>
            <w:position w:val="0"/>
            <w:sz w:val="24"/>
            <w:sz w:val="24"/>
            <w:szCs w:val="24"/>
            <w:highlight w:val="white"/>
            <w:u w:val="none"/>
            <w:effect w:val="none"/>
            <w:vertAlign w:val="baseline"/>
            <w:lang w:val="zxx" w:eastAsia="zxx" w:bidi="zxx"/>
          </w:rPr>
          <w:t>Karl Marx-Hof</w:t>
        </w:r>
      </w:hyperlink>
      <w:r>
        <w:rPr>
          <w:b w:val="false"/>
          <w:bCs w:val="false"/>
          <w:i w:val="false"/>
          <w:caps w:val="false"/>
          <w:smallCaps w:val="false"/>
          <w:strike w:val="false"/>
          <w:dstrike w:val="false"/>
          <w:color w:val="0B0080"/>
          <w:spacing w:val="0"/>
          <w:position w:val="0"/>
          <w:sz w:val="24"/>
          <w:sz w:val="24"/>
          <w:szCs w:val="24"/>
          <w:highlight w:val="white"/>
          <w:u w:val="none"/>
          <w:effect w:val="none"/>
          <w:vertAlign w:val="baseline"/>
        </w:rPr>
        <w:t xml:space="preserve"> </w:t>
      </w:r>
      <w:r>
        <w:rPr>
          <w:b w:val="false"/>
          <w:bCs w:val="false"/>
          <w:i w:val="false"/>
          <w:caps w:val="false"/>
          <w:smallCaps w:val="false"/>
          <w:color w:val="222222"/>
          <w:spacing w:val="0"/>
          <w:position w:val="0"/>
          <w:sz w:val="24"/>
          <w:sz w:val="24"/>
          <w:szCs w:val="24"/>
          <w:u w:val="none"/>
          <w:vertAlign w:val="baseline"/>
        </w:rPr>
        <w:t>which he had visited</w:t>
      </w:r>
      <w:r>
        <w:rPr>
          <w:b w:val="false"/>
          <w:bCs w:val="false"/>
          <w:position w:val="0"/>
          <w:sz w:val="24"/>
          <w:sz w:val="24"/>
          <w:szCs w:val="24"/>
          <w:u w:val="none"/>
          <w:vertAlign w:val="baseline"/>
        </w:rPr>
        <w:t xml:space="preserve"> . All the original parts of the estate are now Grade 2 listed buildings</w:t>
      </w:r>
    </w:p>
    <w:p>
      <w:pPr>
        <w:pStyle w:val="Normal"/>
        <w:jc w:val="left"/>
        <w:rPr>
          <w:position w:val="0"/>
          <w:sz w:val="12"/>
          <w:sz w:val="12"/>
          <w:szCs w:val="12"/>
          <w:u w:val="none"/>
          <w:vertAlign w:val="baseline"/>
        </w:rPr>
      </w:pPr>
      <w:r>
        <w:rPr>
          <w:position w:val="0"/>
          <w:sz w:val="12"/>
          <w:sz w:val="12"/>
          <w:szCs w:val="12"/>
          <w:u w:val="none"/>
          <w:vertAlign w:val="baseline"/>
        </w:rPr>
      </w:r>
    </w:p>
    <w:p>
      <w:pPr>
        <w:pStyle w:val="Normal"/>
        <w:jc w:val="left"/>
        <w:rPr/>
      </w:pPr>
      <w:r>
        <w:rPr>
          <w:b/>
          <w:bCs/>
          <w:sz w:val="24"/>
          <w:szCs w:val="24"/>
          <w:u w:val="single"/>
        </w:rPr>
        <w:t xml:space="preserve">St Pancras Housing Association Estates.  Architect Ian Hamilton. 1926 – late 1930’s </w:t>
      </w:r>
    </w:p>
    <w:p>
      <w:pPr>
        <w:pStyle w:val="Normal"/>
        <w:jc w:val="left"/>
        <w:rPr>
          <w:b w:val="false"/>
          <w:bCs w:val="false"/>
          <w:u w:val="none"/>
        </w:rPr>
      </w:pPr>
      <w:r>
        <w:rPr>
          <w:b w:val="false"/>
          <w:bCs w:val="false"/>
          <w:sz w:val="24"/>
          <w:szCs w:val="24"/>
          <w:u w:val="none"/>
        </w:rPr>
        <w:t>See Malcolm Holmes and many other source references such as ;</w:t>
      </w:r>
    </w:p>
    <w:p>
      <w:pPr>
        <w:pStyle w:val="Normal"/>
        <w:jc w:val="left"/>
        <w:rPr>
          <w:b w:val="false"/>
          <w:bCs w:val="false"/>
          <w:u w:val="none"/>
        </w:rPr>
      </w:pPr>
      <w:hyperlink r:id="rId8">
        <w:r>
          <w:rPr>
            <w:rStyle w:val="Hyperlink"/>
            <w:b w:val="false"/>
            <w:bCs w:val="false"/>
            <w:sz w:val="24"/>
            <w:szCs w:val="24"/>
            <w:u w:val="none"/>
          </w:rPr>
          <w:t>https://www.history.ac.uk/podcasts/voluntary-action-history/untold-story-st-pancras-house-improvement-society-more-charismatic</w:t>
        </w:r>
      </w:hyperlink>
      <w:r>
        <w:rPr>
          <w:b w:val="false"/>
          <w:bCs w:val="false"/>
          <w:sz w:val="24"/>
          <w:szCs w:val="24"/>
          <w:u w:val="none"/>
        </w:rPr>
        <w:t xml:space="preserve"> (Dr Michael Passmore 13.06.2016)</w:t>
      </w:r>
    </w:p>
    <w:p>
      <w:pPr>
        <w:pStyle w:val="Normal"/>
        <w:jc w:val="left"/>
        <w:rPr>
          <w:b w:val="false"/>
          <w:bCs w:val="false"/>
          <w:u w:val="none"/>
        </w:rPr>
      </w:pPr>
      <w:r>
        <w:rPr>
          <w:b w:val="false"/>
          <w:bCs w:val="false"/>
          <w:sz w:val="24"/>
          <w:szCs w:val="24"/>
          <w:u w:val="none"/>
        </w:rPr>
        <w:t>(NB 1. famous flea , cockroach and rat photo and 2. Blue plaque to Father Jellicoe)</w:t>
      </w:r>
    </w:p>
    <w:p>
      <w:pPr>
        <w:pStyle w:val="Normal"/>
        <w:jc w:val="left"/>
        <w:rPr>
          <w:sz w:val="12"/>
          <w:szCs w:val="12"/>
        </w:rPr>
      </w:pPr>
      <w:r>
        <w:rPr>
          <w:sz w:val="12"/>
          <w:szCs w:val="12"/>
        </w:rPr>
      </w:r>
    </w:p>
    <w:p>
      <w:pPr>
        <w:pStyle w:val="Normal"/>
        <w:jc w:val="left"/>
        <w:rPr>
          <w:b w:val="false"/>
          <w:bCs w:val="false"/>
        </w:rPr>
      </w:pPr>
      <w:r>
        <w:rPr>
          <w:b w:val="false"/>
          <w:bCs w:val="false"/>
          <w:u w:val="none"/>
        </w:rPr>
        <w:t>Magdalen College (Oxford) Mission was founded in 1896 and moved to Somers Town in 1908 .</w:t>
      </w:r>
    </w:p>
    <w:p>
      <w:pPr>
        <w:pStyle w:val="Normal"/>
        <w:jc w:val="left"/>
        <w:rPr>
          <w:b w:val="false"/>
          <w:bCs w:val="false"/>
        </w:rPr>
      </w:pPr>
      <w:r>
        <w:rPr>
          <w:b w:val="false"/>
          <w:bCs w:val="false"/>
          <w:u w:val="none"/>
        </w:rPr>
        <w:t>It established Clubs for boys and girls, helped people emigrate to Australia, ran a soup kitchen and established a Nursery School.  In 1921 a young Anglican priest, Basil Jellicoe (1899 – 1935) was appointed Magdalen Missioner to be joined soon after by Percy Maryon-Wilson, Edith Neville and Irene Barclay. Together they founded the St Pancras House Improvement Society in 1924. (eventually to become St Pancras Housing Association and now Origin HA). Father Jellicoe was a tireless campaigner for the right of poor people to live in well designed and affordable housing, and used his work in Somers Town to demonstrate how this could be achieved elsewhere in the UK.</w:t>
      </w:r>
    </w:p>
    <w:p>
      <w:pPr>
        <w:pStyle w:val="Normal"/>
        <w:jc w:val="left"/>
        <w:rPr>
          <w:sz w:val="12"/>
          <w:szCs w:val="12"/>
          <w:u w:val="none"/>
        </w:rPr>
      </w:pPr>
      <w:r>
        <w:rPr>
          <w:sz w:val="12"/>
          <w:szCs w:val="12"/>
          <w:u w:val="none"/>
        </w:rPr>
      </w:r>
    </w:p>
    <w:p>
      <w:pPr>
        <w:pStyle w:val="Normal"/>
        <w:jc w:val="left"/>
        <w:rPr>
          <w:b w:val="false"/>
          <w:bCs w:val="false"/>
        </w:rPr>
      </w:pPr>
      <w:r>
        <w:rPr>
          <w:b w:val="false"/>
          <w:bCs w:val="false"/>
          <w:u w:val="none"/>
        </w:rPr>
        <w:t xml:space="preserve">At first, the Society repaired and renovated slum housing, but soon found that it was so unhealthy, and had deteriorated so far, as to make renovation impractical . In 1926, therefore, the Society began a demolition / new build programme aimed at re housing as many people as possible in self contained flats often around an inner courtyard. </w:t>
      </w:r>
      <w:r>
        <w:rPr>
          <w:b w:val="false"/>
          <w:bCs w:val="false"/>
          <w:i w:val="false"/>
          <w:caps w:val="false"/>
          <w:smallCaps w:val="false"/>
          <w:color w:val="181818"/>
          <w:spacing w:val="0"/>
          <w:sz w:val="24"/>
          <w:szCs w:val="24"/>
          <w:u w:val="none"/>
        </w:rPr>
        <w:t>The new housing, which may have been the first voluntary scheme of its type put up after World War I, was let at low rents affordable to unskilled tenants of the slums being replaced - unlike the rents of Council housing in the area which were only affordable to skilled workers.</w:t>
      </w:r>
      <w:r>
        <w:rPr>
          <w:b w:val="false"/>
          <w:bCs w:val="false"/>
          <w:sz w:val="24"/>
          <w:szCs w:val="24"/>
          <w:u w:val="none"/>
        </w:rPr>
        <w:t xml:space="preserve">  By the end of the 1930’s the Housing Association had provided over 600 new homes.</w:t>
      </w:r>
    </w:p>
    <w:p>
      <w:pPr>
        <w:pStyle w:val="Normal"/>
        <w:jc w:val="left"/>
        <w:rPr>
          <w:b w:val="false"/>
          <w:bCs w:val="false"/>
          <w:sz w:val="12"/>
          <w:szCs w:val="12"/>
          <w:u w:val="none"/>
        </w:rPr>
      </w:pPr>
      <w:r>
        <w:rPr>
          <w:b w:val="false"/>
          <w:bCs w:val="false"/>
          <w:sz w:val="12"/>
          <w:szCs w:val="12"/>
          <w:u w:val="none"/>
        </w:rPr>
      </w:r>
    </w:p>
    <w:p>
      <w:pPr>
        <w:pStyle w:val="Normal"/>
        <w:jc w:val="left"/>
        <w:rPr>
          <w:b w:val="false"/>
          <w:bCs w:val="false"/>
        </w:rPr>
      </w:pPr>
      <w:r>
        <w:rPr>
          <w:b w:val="false"/>
          <w:bCs w:val="false"/>
          <w:u w:val="none"/>
        </w:rPr>
        <w:t xml:space="preserve">The Association continued the original charitable ethic by ensuring its estate residents had access to beauty eg Drying posts with Gilbert Bayes glazed pottery finials , modern services eg St George’s Flats (Bridgeway St) were the first totally electrically equipped of their kind in the UK and community development eg organised pantomimes for and with their tenants.  </w:t>
      </w:r>
    </w:p>
    <w:p>
      <w:pPr>
        <w:pStyle w:val="Normal"/>
        <w:jc w:val="left"/>
        <w:rPr>
          <w:b w:val="false"/>
          <w:bCs w:val="false"/>
        </w:rPr>
      </w:pPr>
      <w:r>
        <w:rPr>
          <w:b w:val="false"/>
          <w:bCs w:val="false"/>
          <w:u w:val="none"/>
        </w:rPr>
        <w:t>Amongst many other things, Father Jellicoe edited “Housing happenings”, an annual report in booklet form, recording the work of the Society / Association which was published every year from 1928 to 1975 . (Copies held in Camden Local Studies Centre)</w:t>
      </w:r>
    </w:p>
    <w:p>
      <w:pPr>
        <w:pStyle w:val="Normal"/>
        <w:jc w:val="left"/>
        <w:rPr>
          <w:sz w:val="12"/>
          <w:szCs w:val="12"/>
        </w:rPr>
      </w:pPr>
      <w:r>
        <w:rPr>
          <w:sz w:val="12"/>
          <w:szCs w:val="12"/>
        </w:rPr>
      </w:r>
    </w:p>
    <w:p>
      <w:pPr>
        <w:pStyle w:val="Normal"/>
        <w:jc w:val="left"/>
        <w:rPr/>
      </w:pPr>
      <w:r>
        <w:rPr>
          <w:b/>
          <w:bCs/>
          <w:u w:val="single"/>
        </w:rPr>
        <w:t xml:space="preserve">St Pancras Metropolitan Borough Council . </w:t>
      </w:r>
    </w:p>
    <w:p>
      <w:pPr>
        <w:pStyle w:val="Normal"/>
        <w:jc w:val="left"/>
        <w:rPr/>
      </w:pPr>
      <w:r>
        <w:rPr>
          <w:b/>
          <w:bCs/>
          <w:u w:val="single"/>
        </w:rPr>
        <w:t>Somers Town Estate   :  Architect A J Thomas   Begun 1922</w:t>
      </w:r>
    </w:p>
    <w:p>
      <w:pPr>
        <w:pStyle w:val="Normal"/>
        <w:jc w:val="left"/>
        <w:rPr>
          <w:b w:val="false"/>
          <w:bCs w:val="false"/>
          <w:u w:val="none"/>
        </w:rPr>
      </w:pPr>
      <w:r>
        <w:rPr>
          <w:b w:val="false"/>
          <w:bCs w:val="false"/>
          <w:u w:val="none"/>
        </w:rPr>
        <w:t>See : https://municipaldreams.wordpress..com/2013/06/25/aldenham-house-and-wolcot-house-st-pancras-giving-the-poor-somers-town-people-the-first-real-chance-they-have-ever-had/#comments</w:t>
      </w:r>
    </w:p>
    <w:p>
      <w:pPr>
        <w:pStyle w:val="Normal"/>
        <w:jc w:val="left"/>
        <w:rPr>
          <w:b w:val="false"/>
          <w:bCs w:val="false"/>
          <w:i w:val="false"/>
          <w:i w:val="false"/>
          <w:caps w:val="false"/>
          <w:smallCaps w:val="false"/>
          <w:color w:val="333333"/>
          <w:spacing w:val="0"/>
          <w:u w:val="none"/>
        </w:rPr>
      </w:pPr>
      <w:r>
        <w:rPr>
          <w:b w:val="false"/>
          <w:bCs w:val="false"/>
          <w:i w:val="false"/>
          <w:caps w:val="false"/>
          <w:smallCaps w:val="false"/>
          <w:color w:val="333333"/>
          <w:spacing w:val="0"/>
          <w:u w:val="none"/>
        </w:rPr>
      </w:r>
    </w:p>
    <w:p>
      <w:pPr>
        <w:pStyle w:val="Normal"/>
        <w:jc w:val="left"/>
        <w:rPr/>
      </w:pPr>
      <w:r>
        <w:rPr>
          <w:b w:val="false"/>
          <w:bCs w:val="false"/>
          <w:i w:val="false"/>
          <w:caps w:val="false"/>
          <w:smallCaps w:val="false"/>
          <w:color w:val="333333"/>
          <w:spacing w:val="0"/>
          <w:sz w:val="24"/>
          <w:szCs w:val="24"/>
          <w:u w:val="none"/>
        </w:rPr>
        <w:t>In 1921 an area of Somers Town (Wolcot Street – formerly Little Clarendon Street) known as “Little hell” was already 120 years old. Its 91 houses were described as ‘very dilapidated, neglected, insanitary,</w:t>
      </w:r>
      <w:r>
        <w:rPr>
          <w:b/>
          <w:bCs/>
          <w:i w:val="false"/>
          <w:caps w:val="false"/>
          <w:smallCaps w:val="false"/>
          <w:color w:val="333333"/>
          <w:spacing w:val="0"/>
          <w:sz w:val="24"/>
          <w:szCs w:val="24"/>
          <w:u w:val="none"/>
        </w:rPr>
        <w:t xml:space="preserve"> </w:t>
      </w:r>
      <w:r>
        <w:rPr>
          <w:b w:val="false"/>
          <w:bCs w:val="false"/>
          <w:i w:val="false"/>
          <w:caps w:val="false"/>
          <w:smallCaps w:val="false"/>
          <w:color w:val="333333"/>
          <w:spacing w:val="0"/>
          <w:sz w:val="24"/>
          <w:szCs w:val="24"/>
          <w:u w:val="none"/>
        </w:rPr>
        <w:t>verminous and dangerous’ and scheduled for demolition by the St Pancras Council.</w:t>
      </w:r>
      <w:r>
        <w:rPr>
          <w:b w:val="false"/>
          <w:bCs w:val="false"/>
          <w:sz w:val="24"/>
          <w:szCs w:val="24"/>
          <w:u w:val="none"/>
        </w:rPr>
        <w:t xml:space="preserve">  The Health Committee took responsibility for the redevelopment . The subsequent design was led by</w:t>
      </w:r>
      <w:r>
        <w:rPr>
          <w:b w:val="false"/>
          <w:bCs w:val="false"/>
          <w:sz w:val="24"/>
          <w:szCs w:val="24"/>
          <w:u w:val="single"/>
        </w:rPr>
        <w:t xml:space="preserve"> </w:t>
      </w:r>
      <w:r>
        <w:rPr>
          <w:b w:val="false"/>
          <w:bCs w:val="false"/>
          <w:sz w:val="24"/>
          <w:szCs w:val="24"/>
          <w:u w:val="none"/>
        </w:rPr>
        <w:t>A J Thomas</w:t>
      </w:r>
      <w:r>
        <w:rPr>
          <w:b w:val="false"/>
          <w:bCs w:val="false"/>
          <w:sz w:val="24"/>
          <w:szCs w:val="24"/>
          <w:u w:val="single"/>
        </w:rPr>
        <w:t xml:space="preserve"> </w:t>
      </w:r>
      <w:r>
        <w:rPr>
          <w:b w:val="false"/>
          <w:bCs w:val="false"/>
          <w:sz w:val="24"/>
          <w:szCs w:val="24"/>
          <w:u w:val="none"/>
        </w:rPr>
        <w:t>who went on to design Camden Town Hall (1937) and worked for a while with Sir Edwin Lutyens.</w:t>
      </w:r>
    </w:p>
    <w:p>
      <w:pPr>
        <w:pStyle w:val="Normal"/>
        <w:jc w:val="left"/>
        <w:rPr>
          <w:i w:val="false"/>
          <w:i w:val="false"/>
          <w:caps w:val="false"/>
          <w:smallCaps w:val="false"/>
          <w:color w:val="333333"/>
          <w:spacing w:val="0"/>
          <w:sz w:val="12"/>
          <w:szCs w:val="12"/>
        </w:rPr>
      </w:pPr>
      <w:r>
        <w:rPr>
          <w:i w:val="false"/>
          <w:caps w:val="false"/>
          <w:smallCaps w:val="false"/>
          <w:color w:val="333333"/>
          <w:spacing w:val="0"/>
          <w:sz w:val="12"/>
          <w:szCs w:val="12"/>
        </w:rPr>
      </w:r>
    </w:p>
    <w:p>
      <w:pPr>
        <w:pStyle w:val="Normal"/>
        <w:jc w:val="left"/>
        <w:rPr>
          <w:b w:val="false"/>
          <w:bCs w:val="false"/>
        </w:rPr>
      </w:pPr>
      <w:r>
        <w:rPr>
          <w:b w:val="false"/>
          <w:bCs w:val="false"/>
          <w:i w:val="false"/>
          <w:caps w:val="false"/>
          <w:smallCaps w:val="false"/>
          <w:color w:val="333333"/>
          <w:spacing w:val="0"/>
          <w:sz w:val="24"/>
          <w:szCs w:val="24"/>
          <w:u w:val="none"/>
        </w:rPr>
        <w:t>The blocks were placed, according to Thomas, ‘in such a manner as to admit the greatest amount of sunshine, with a free and open circulation of air and ample playing ground for children’.</w:t>
      </w:r>
      <w:r>
        <w:rPr>
          <w:b w:val="false"/>
          <w:bCs w:val="false"/>
          <w:sz w:val="24"/>
          <w:szCs w:val="24"/>
          <w:u w:val="none"/>
        </w:rPr>
        <w:t xml:space="preserve">  </w:t>
      </w:r>
      <w:r>
        <w:rPr>
          <w:b w:val="false"/>
          <w:bCs w:val="false"/>
          <w:i w:val="false"/>
          <w:caps w:val="false"/>
          <w:smallCaps w:val="false"/>
          <w:color w:val="333333"/>
          <w:spacing w:val="0"/>
          <w:sz w:val="24"/>
          <w:szCs w:val="24"/>
          <w:u w:val="none"/>
        </w:rPr>
        <w:t xml:space="preserve">An unusual aspect of the scheme was the Council’s expressed desire to rehouse </w:t>
      </w:r>
      <w:r>
        <w:rPr>
          <w:b w:val="false"/>
          <w:bCs w:val="false"/>
          <w:i w:val="false"/>
          <w:caps w:val="false"/>
          <w:smallCaps w:val="false"/>
          <w:color w:val="333333"/>
          <w:spacing w:val="0"/>
          <w:sz w:val="24"/>
          <w:szCs w:val="24"/>
          <w:u w:val="single"/>
        </w:rPr>
        <w:t>all</w:t>
      </w:r>
      <w:r>
        <w:rPr>
          <w:b w:val="false"/>
          <w:bCs w:val="false"/>
          <w:i w:val="false"/>
          <w:caps w:val="false"/>
          <w:smallCaps w:val="false"/>
          <w:color w:val="333333"/>
          <w:spacing w:val="0"/>
          <w:sz w:val="24"/>
          <w:szCs w:val="24"/>
          <w:u w:val="none"/>
        </w:rPr>
        <w:t xml:space="preserve"> those displaced by the area’s slum clearance , and this was indeed , achieved.</w:t>
      </w:r>
    </w:p>
    <w:p>
      <w:pPr>
        <w:pStyle w:val="Normal"/>
        <w:jc w:val="left"/>
        <w:rPr>
          <w:b w:val="false"/>
          <w:bCs w:val="false"/>
        </w:rPr>
      </w:pPr>
      <w:r>
        <w:rPr>
          <w:b w:val="false"/>
          <w:bCs w:val="false"/>
        </w:rPr>
      </w:r>
    </w:p>
    <w:p>
      <w:pPr>
        <w:pStyle w:val="Normal"/>
        <w:jc w:val="left"/>
        <w:rPr>
          <w:b/>
          <w:bCs/>
        </w:rPr>
      </w:pPr>
      <w:r>
        <w:rPr>
          <w:b/>
          <w:bCs/>
          <w:i w:val="false"/>
          <w:caps w:val="false"/>
          <w:smallCaps w:val="false"/>
          <w:color w:val="333333"/>
          <w:spacing w:val="0"/>
          <w:sz w:val="24"/>
          <w:szCs w:val="24"/>
          <w:u w:val="none"/>
        </w:rPr>
        <w:t>WAR DAMAGE</w:t>
      </w:r>
    </w:p>
    <w:p>
      <w:pPr>
        <w:pStyle w:val="Normal"/>
        <w:jc w:val="left"/>
        <w:rPr/>
      </w:pPr>
      <w:r>
        <w:rPr>
          <w:b/>
          <w:bCs/>
          <w:u w:val="single"/>
        </w:rPr>
        <w:t xml:space="preserve">St Pancras Metropolitan Borough Council </w:t>
      </w:r>
    </w:p>
    <w:p>
      <w:pPr>
        <w:pStyle w:val="Normal"/>
        <w:jc w:val="left"/>
        <w:rPr/>
      </w:pPr>
      <w:r>
        <w:rPr>
          <w:b/>
          <w:bCs/>
          <w:u w:val="single"/>
        </w:rPr>
        <w:t>Cecil Rhodes House / The Chenies : Architect :Thomas Sibthorpe.  Built in the late 1940’s</w:t>
      </w:r>
    </w:p>
    <w:p>
      <w:pPr>
        <w:pStyle w:val="BodyText"/>
        <w:spacing w:lineRule="auto" w:line="240"/>
        <w:jc w:val="left"/>
        <w:rPr>
          <w:b w:val="false"/>
          <w:bCs w:val="false"/>
        </w:rPr>
      </w:pPr>
      <w:r>
        <w:rPr>
          <w:b w:val="false"/>
          <w:bCs w:val="false"/>
          <w:i w:val="false"/>
          <w:caps w:val="false"/>
          <w:smallCaps w:val="false"/>
          <w:color w:val="3A3A3A"/>
          <w:spacing w:val="0"/>
          <w:sz w:val="24"/>
          <w:szCs w:val="24"/>
          <w:u w:val="none"/>
        </w:rPr>
        <w:t>A very early and ambitious example of post war Council housing (homes fit for heroes) , these 10/11 storey red brick flats were built in the distinctive “Art Deco” style .</w:t>
      </w:r>
    </w:p>
    <w:p>
      <w:pPr>
        <w:pStyle w:val="Normal"/>
        <w:spacing w:lineRule="auto" w:line="240"/>
        <w:jc w:val="left"/>
        <w:rPr/>
      </w:pPr>
      <w:r>
        <w:rPr>
          <w:b/>
          <w:bCs/>
          <w:i w:val="false"/>
          <w:caps w:val="false"/>
          <w:smallCaps w:val="false"/>
          <w:color w:val="3A3A3A"/>
          <w:spacing w:val="0"/>
          <w:sz w:val="24"/>
          <w:szCs w:val="24"/>
          <w:u w:val="single"/>
        </w:rPr>
        <w:t>St Pancras Metropolitan Borough Council</w:t>
      </w:r>
    </w:p>
    <w:p>
      <w:pPr>
        <w:pStyle w:val="Normal"/>
        <w:spacing w:lineRule="auto" w:line="240"/>
        <w:jc w:val="left"/>
        <w:rPr/>
      </w:pPr>
      <w:r>
        <w:rPr>
          <w:b/>
          <w:bCs/>
          <w:i w:val="false"/>
          <w:caps w:val="false"/>
          <w:smallCaps w:val="false"/>
          <w:color w:val="3A3A3A"/>
          <w:spacing w:val="0"/>
          <w:sz w:val="24"/>
          <w:szCs w:val="24"/>
          <w:u w:val="single"/>
        </w:rPr>
        <w:t>Godwin and Crowndale Estate.. Built in the mid 1950’s .</w:t>
      </w:r>
    </w:p>
    <w:p>
      <w:pPr>
        <w:pStyle w:val="BodyText"/>
        <w:spacing w:lineRule="auto" w:line="240"/>
        <w:jc w:val="left"/>
        <w:rPr>
          <w:b w:val="false"/>
          <w:bCs w:val="false"/>
        </w:rPr>
      </w:pPr>
      <w:r>
        <w:rPr>
          <w:b w:val="false"/>
          <w:bCs w:val="false"/>
          <w:i w:val="false"/>
          <w:caps w:val="false"/>
          <w:smallCaps w:val="false"/>
          <w:color w:val="3A3A3A"/>
          <w:spacing w:val="0"/>
          <w:sz w:val="24"/>
          <w:szCs w:val="24"/>
          <w:u w:val="none"/>
        </w:rPr>
        <w:t>Fronting onto Crowndale  Road, these two substantial red brick 8/9 storey blocks were built on the site of houses badly damaged during WW2. They provide a total of 173 flats with a series of car parking and grassed courtyard areas , fenced football / kickabout area and small community garden to the rear. The street frontage to Crowndale Court provides local shopping, while the Al-Rahman Mosque and Community Centre is located to the rear of Godwin Court</w:t>
      </w:r>
    </w:p>
    <w:p>
      <w:pPr>
        <w:pStyle w:val="BodyText"/>
        <w:spacing w:lineRule="auto" w:line="240"/>
        <w:jc w:val="left"/>
        <w:rPr>
          <w:b w:val="false"/>
          <w:bCs w:val="false"/>
        </w:rPr>
      </w:pPr>
      <w:r>
        <w:rPr>
          <w:b w:val="false"/>
          <w:bCs w:val="false"/>
          <w:i w:val="false"/>
          <w:caps w:val="false"/>
          <w:smallCaps w:val="false"/>
          <w:color w:val="3A3A3A"/>
          <w:spacing w:val="0"/>
          <w:sz w:val="24"/>
          <w:szCs w:val="24"/>
          <w:u w:val="none"/>
        </w:rPr>
        <w:t>By the end of the 20</w:t>
      </w:r>
      <w:r>
        <w:rPr>
          <w:b w:val="false"/>
          <w:bCs w:val="false"/>
          <w:i w:val="false"/>
          <w:caps w:val="false"/>
          <w:smallCaps w:val="false"/>
          <w:color w:val="3A3A3A"/>
          <w:spacing w:val="0"/>
          <w:sz w:val="24"/>
          <w:szCs w:val="24"/>
          <w:u w:val="none"/>
          <w:vertAlign w:val="superscript"/>
        </w:rPr>
        <w:t>th</w:t>
      </w:r>
      <w:r>
        <w:rPr>
          <w:b w:val="false"/>
          <w:bCs w:val="false"/>
          <w:i w:val="false"/>
          <w:caps w:val="false"/>
          <w:smallCaps w:val="false"/>
          <w:color w:val="3A3A3A"/>
          <w:spacing w:val="0"/>
          <w:sz w:val="24"/>
          <w:szCs w:val="24"/>
          <w:u w:val="none"/>
        </w:rPr>
        <w:t xml:space="preserve"> Century, this estate, along with Ampthill (see below), was identified in “Pride of Place”- a report by Ove Arup for LB Camden, as “high priority” for estate regeneration. On both estates a thorough public consultation process was conducted and information provided in foreign languages. At the time Godwin and Crowndale had a large Bangladeshi and a smaller Somali population. Residents on both estates had the benefit of of independent advice provided by a Residents/Tenants Friend. The preferred Godwin and Crowndale option : radical refurbishment without resident relocation costing £10.35 million. Delivery included on-going independent training and community development for residents. Godwin and Crowndale now has / had </w:t>
      </w:r>
      <w:r>
        <w:rPr>
          <w:b/>
          <w:bCs/>
          <w:i w:val="false"/>
          <w:caps w:val="false"/>
          <w:smallCaps w:val="false"/>
          <w:color w:val="3A3A3A"/>
          <w:spacing w:val="0"/>
          <w:sz w:val="24"/>
          <w:szCs w:val="24"/>
          <w:u w:val="none"/>
        </w:rPr>
        <w:t>(??? Check</w:t>
      </w:r>
      <w:r>
        <w:rPr>
          <w:b w:val="false"/>
          <w:bCs w:val="false"/>
          <w:i w:val="false"/>
          <w:caps w:val="false"/>
          <w:smallCaps w:val="false"/>
          <w:color w:val="3A3A3A"/>
          <w:spacing w:val="0"/>
          <w:sz w:val="24"/>
          <w:szCs w:val="24"/>
          <w:u w:val="none"/>
        </w:rPr>
        <w:t>) a Tenant Management Co-operative.</w:t>
      </w:r>
    </w:p>
    <w:tbl>
      <w:tblPr>
        <w:tblW w:w="9638" w:type="dxa"/>
        <w:jc w:val="left"/>
        <w:tblInd w:w="47" w:type="dxa"/>
        <w:tblLayout w:type="fixed"/>
        <w:tblCellMar>
          <w:top w:w="55" w:type="dxa"/>
          <w:left w:w="45" w:type="dxa"/>
          <w:bottom w:w="55" w:type="dxa"/>
          <w:right w:w="55" w:type="dxa"/>
        </w:tblCellMar>
      </w:tblPr>
      <w:tblGrid>
        <w:gridCol w:w="9638"/>
      </w:tblGrid>
      <w:tr>
        <w:trPr/>
        <w:tc>
          <w:tcPr>
            <w:tcW w:w="9638" w:type="dxa"/>
            <w:tcBorders>
              <w:top w:val="single" w:sz="2" w:space="0" w:color="000001"/>
              <w:left w:val="single" w:sz="2" w:space="0" w:color="000001"/>
              <w:bottom w:val="single" w:sz="2" w:space="0" w:color="000001"/>
              <w:right w:val="single" w:sz="2" w:space="0" w:color="000001"/>
            </w:tcBorders>
            <w:shd w:fill="auto" w:val="clear"/>
          </w:tcPr>
          <w:p>
            <w:pPr>
              <w:pStyle w:val="BodyText"/>
              <w:spacing w:lineRule="auto" w:line="240"/>
              <w:jc w:val="left"/>
              <w:rPr>
                <w:b w:val="false"/>
                <w:bCs w:val="false"/>
              </w:rPr>
            </w:pPr>
            <w:r>
              <w:rPr>
                <w:b w:val="false"/>
                <w:bCs w:val="false"/>
                <w:i w:val="false"/>
                <w:caps w:val="false"/>
                <w:smallCaps w:val="false"/>
                <w:color w:val="000000"/>
                <w:spacing w:val="0"/>
                <w:sz w:val="24"/>
                <w:szCs w:val="24"/>
                <w:u w:val="none"/>
              </w:rPr>
              <w:t>In the immediate aftermath of the Second World War one of Britain’s primary concerns was dealing with an acute housing shortage</w:t>
            </w:r>
            <w:r>
              <w:rPr>
                <w:rFonts w:ascii="Helvetica;Arial;sans-serif" w:hAnsi="Helvetica;Arial;sans-serif"/>
                <w:b w:val="false"/>
                <w:bCs w:val="false"/>
                <w:i w:val="false"/>
                <w:caps w:val="false"/>
                <w:smallCaps w:val="false"/>
                <w:color w:val="000000"/>
                <w:spacing w:val="0"/>
                <w:sz w:val="21"/>
                <w:u w:val="none"/>
              </w:rPr>
              <w:t xml:space="preserve">.. </w:t>
            </w:r>
            <w:r>
              <w:rPr>
                <w:b w:val="false"/>
                <w:bCs w:val="false"/>
                <w:i w:val="false"/>
                <w:caps w:val="false"/>
                <w:smallCaps w:val="false"/>
                <w:color w:val="000000"/>
                <w:spacing w:val="0"/>
                <w:sz w:val="24"/>
                <w:szCs w:val="24"/>
                <w:u w:val="none"/>
              </w:rPr>
              <w:t>But as society grew more prosperous  and changed in character, car ownership increased and by the 1980’s and 90’s Council housing allocation and management became very problematical.   Public consultation on , and occasionally , public participation in planning , design and management of social housing, increasingly characterised public policy in this field.</w:t>
            </w:r>
          </w:p>
          <w:p>
            <w:pPr>
              <w:pStyle w:val="BodyText"/>
              <w:spacing w:lineRule="auto" w:line="240" w:before="0" w:after="140"/>
              <w:jc w:val="left"/>
              <w:rPr>
                <w:b w:val="false"/>
                <w:bCs w:val="false"/>
              </w:rPr>
            </w:pPr>
            <w:r>
              <w:rPr>
                <w:b w:val="false"/>
                <w:bCs w:val="false"/>
                <w:i w:val="false"/>
                <w:caps w:val="false"/>
                <w:smallCaps w:val="false"/>
                <w:color w:val="3A3A3A"/>
                <w:spacing w:val="0"/>
                <w:u w:val="none"/>
              </w:rPr>
              <w:t xml:space="preserve">St Pancras, Holborn and Hampstead Metropolitan Borough Councils merged in 1965 to form Camden Borough Council .    A distinctively modernist approach to new Council housing design and layout ensued for about 10 years under the leadership of the then </w:t>
            </w:r>
            <w:r>
              <w:rPr>
                <w:b w:val="false"/>
                <w:bCs w:val="false"/>
                <w:i w:val="false"/>
                <w:caps w:val="false"/>
                <w:smallCaps w:val="false"/>
                <w:color w:val="3A3A3A"/>
                <w:spacing w:val="0"/>
                <w:u w:val="thick"/>
              </w:rPr>
              <w:t>Borough Architect (1965 - 73)– Sydney Cook</w:t>
            </w:r>
            <w:r>
              <w:rPr>
                <w:b w:val="false"/>
                <w:bCs w:val="false"/>
                <w:i w:val="false"/>
                <w:caps w:val="false"/>
                <w:smallCaps w:val="false"/>
                <w:color w:val="3A3A3A"/>
                <w:spacing w:val="0"/>
                <w:u w:val="none"/>
              </w:rPr>
              <w:t xml:space="preserve">  (see “Cook’s Camden: the making of modern housing” by Mark Swenarton.)</w:t>
            </w:r>
          </w:p>
          <w:p>
            <w:pPr>
              <w:pStyle w:val="Normal"/>
              <w:spacing w:lineRule="auto" w:line="240"/>
              <w:jc w:val="left"/>
              <w:rPr>
                <w:b w:val="false"/>
                <w:bCs w:val="false"/>
              </w:rPr>
            </w:pPr>
            <w:r>
              <w:rPr>
                <w:b w:val="false"/>
                <w:bCs w:val="false"/>
                <w:sz w:val="24"/>
                <w:szCs w:val="24"/>
                <w:u w:val="none"/>
              </w:rPr>
              <w:t>Of the 38 new – build Camden housing schemes initiated under Sidney Cook, private practices accounted for nearly half. Overall, the Architects selected were unmistakably of higher calibre than the norm. After 1970 there was a change in the scale of these appointments, with 35 between 1970 and 1973, compared with just 3 between 1965 – 1969.  The reason for this was huge overload of work for the Borough Architects Dept due to :-</w:t>
            </w:r>
          </w:p>
          <w:p>
            <w:pPr>
              <w:pStyle w:val="Normal"/>
              <w:numPr>
                <w:ilvl w:val="0"/>
                <w:numId w:val="3"/>
              </w:numPr>
              <w:spacing w:lineRule="auto" w:line="240"/>
              <w:jc w:val="left"/>
              <w:rPr>
                <w:b w:val="false"/>
                <w:bCs w:val="false"/>
              </w:rPr>
            </w:pPr>
            <w:r>
              <w:rPr>
                <w:b w:val="false"/>
                <w:bCs w:val="false"/>
                <w:sz w:val="24"/>
                <w:szCs w:val="24"/>
                <w:u w:val="none"/>
              </w:rPr>
              <w:t>existing work on large projects such as Alexandra Road.</w:t>
            </w:r>
          </w:p>
          <w:p>
            <w:pPr>
              <w:pStyle w:val="Normal"/>
              <w:numPr>
                <w:ilvl w:val="0"/>
                <w:numId w:val="4"/>
              </w:numPr>
              <w:spacing w:lineRule="auto" w:line="240"/>
              <w:jc w:val="left"/>
              <w:rPr>
                <w:b w:val="false"/>
                <w:bCs w:val="false"/>
              </w:rPr>
            </w:pPr>
            <w:r>
              <w:rPr>
                <w:b w:val="false"/>
                <w:bCs w:val="false"/>
                <w:sz w:val="24"/>
                <w:szCs w:val="24"/>
                <w:u w:val="none"/>
              </w:rPr>
              <w:t>the expansion of the housing programme by Labour in 1971 and</w:t>
            </w:r>
          </w:p>
          <w:p>
            <w:pPr>
              <w:pStyle w:val="Normal"/>
              <w:numPr>
                <w:ilvl w:val="0"/>
                <w:numId w:val="4"/>
              </w:numPr>
              <w:spacing w:lineRule="auto" w:line="240" w:before="0" w:after="140"/>
              <w:jc w:val="left"/>
              <w:rPr>
                <w:b w:val="false"/>
                <w:bCs w:val="false"/>
              </w:rPr>
            </w:pPr>
            <w:r>
              <w:rPr>
                <w:b w:val="false"/>
                <w:bCs w:val="false"/>
                <w:i w:val="false"/>
                <w:caps w:val="false"/>
                <w:smallCaps w:val="false"/>
                <w:color w:val="3A3A3A"/>
                <w:spacing w:val="0"/>
                <w:sz w:val="24"/>
                <w:szCs w:val="24"/>
                <w:u w:val="none"/>
              </w:rPr>
              <w:t>the return to the Council of former Housing Association projects initiated by the previous Conservative administration.</w:t>
            </w:r>
          </w:p>
          <w:p>
            <w:pPr>
              <w:pStyle w:val="BodyText"/>
              <w:spacing w:lineRule="auto" w:line="240" w:before="0" w:after="140"/>
              <w:jc w:val="left"/>
              <w:rPr>
                <w:b w:val="false"/>
                <w:bCs w:val="false"/>
              </w:rPr>
            </w:pPr>
            <w:r>
              <w:rPr>
                <w:b w:val="false"/>
                <w:bCs w:val="false"/>
                <w:i w:val="false"/>
                <w:caps w:val="false"/>
                <w:smallCaps w:val="false"/>
                <w:color w:val="3A3A3A"/>
                <w:spacing w:val="0"/>
                <w:sz w:val="24"/>
                <w:szCs w:val="24"/>
                <w:u w:val="none"/>
              </w:rPr>
              <w:t>C</w:t>
            </w:r>
            <w:r>
              <w:rPr>
                <w:b w:val="false"/>
                <w:bCs w:val="false"/>
                <w:i w:val="false"/>
                <w:caps w:val="false"/>
                <w:smallCaps w:val="false"/>
                <w:color w:val="444444"/>
                <w:spacing w:val="0"/>
                <w:sz w:val="24"/>
                <w:szCs w:val="24"/>
                <w:u w:val="none"/>
              </w:rPr>
              <w:t>ouncil house building dropped away as a significant part of the country’s output under Margaret Thatcher’s government – falling from 55,200 in 1979 , to just 400 in John Major’s last.(1997) This was due to the introduction of the Right to Buy and spending restrictions which prevented Councils from building at scale</w:t>
            </w:r>
            <w:r>
              <w:rPr>
                <w:b w:val="false"/>
                <w:bCs w:val="false"/>
                <w:i w:val="false"/>
                <w:caps w:val="false"/>
                <w:smallCaps w:val="false"/>
                <w:color w:val="3A3A3A"/>
                <w:spacing w:val="0"/>
                <w:sz w:val="24"/>
                <w:szCs w:val="24"/>
                <w:u w:val="none"/>
              </w:rPr>
              <w:t xml:space="preserve">   ( See : Inside Housing 26.04.2017)</w:t>
            </w:r>
          </w:p>
        </w:tc>
      </w:tr>
    </w:tbl>
    <w:p>
      <w:pPr>
        <w:pStyle w:val="BodyText"/>
        <w:spacing w:lineRule="auto" w:line="240"/>
        <w:jc w:val="left"/>
        <w:rPr>
          <w:sz w:val="12"/>
          <w:szCs w:val="12"/>
        </w:rPr>
      </w:pPr>
      <w:r>
        <w:rPr>
          <w:sz w:val="12"/>
          <w:szCs w:val="12"/>
        </w:rPr>
      </w:r>
    </w:p>
    <w:p>
      <w:pPr>
        <w:pStyle w:val="BodyText"/>
        <w:spacing w:lineRule="auto" w:line="240"/>
        <w:jc w:val="left"/>
        <w:rPr>
          <w:b w:val="false"/>
          <w:bCs w:val="false"/>
        </w:rPr>
      </w:pPr>
      <w:r>
        <w:rPr>
          <w:b/>
          <w:bCs/>
          <w:i w:val="false"/>
          <w:caps w:val="false"/>
          <w:smallCaps w:val="false"/>
          <w:color w:val="3A3A3A"/>
          <w:spacing w:val="0"/>
          <w:sz w:val="24"/>
          <w:szCs w:val="24"/>
          <w:u w:val="single"/>
        </w:rPr>
        <w:t xml:space="preserve">LB Camden.    Ampthill Square  Estate :  Low/medium rise brick built housing by Eric Lyons and Partners and including 3 high rise 21 storey tower blocks designed by Thomas Sibthorpe.   Built 1965 -1969  </w:t>
      </w:r>
    </w:p>
    <w:p>
      <w:pPr>
        <w:pStyle w:val="BodyText"/>
        <w:spacing w:lineRule="auto" w:line="240"/>
        <w:jc w:val="left"/>
        <w:rPr>
          <w:b w:val="false"/>
          <w:bCs w:val="false"/>
        </w:rPr>
      </w:pPr>
      <w:r>
        <w:rPr>
          <w:b w:val="false"/>
          <w:bCs w:val="false"/>
          <w:i w:val="false"/>
          <w:caps w:val="false"/>
          <w:smallCaps w:val="false"/>
          <w:color w:val="3A3A3A"/>
          <w:spacing w:val="0"/>
          <w:sz w:val="24"/>
          <w:szCs w:val="24"/>
          <w:u w:val="none"/>
        </w:rPr>
        <w:t>See  https://www.ampthillsquaretra.org.uk/about/   Presentation to House of Lords Select Committee 12.09.2016 by Fran Heron ; and “Streets of St Pancras” Camden History Society 2002</w:t>
      </w:r>
    </w:p>
    <w:p>
      <w:pPr>
        <w:pStyle w:val="BodyText"/>
        <w:spacing w:lineRule="auto" w:line="240"/>
        <w:jc w:val="left"/>
        <w:rPr>
          <w:b w:val="false"/>
          <w:bCs w:val="false"/>
        </w:rPr>
      </w:pPr>
      <w:r>
        <w:rPr>
          <w:b w:val="false"/>
          <w:bCs w:val="false"/>
          <w:i w:val="false"/>
          <w:caps w:val="false"/>
          <w:smallCaps w:val="false"/>
          <w:color w:val="3A3A3A"/>
          <w:spacing w:val="0"/>
          <w:sz w:val="24"/>
          <w:szCs w:val="24"/>
          <w:u w:val="none"/>
        </w:rPr>
        <w:t>Built in the 1960s on the site of elegant dilapidated Victorian terraced homes, Ampthillwas a model estate in its day. At the centre of the estate lies public open space : the former Ampthill Square built 1844 – 1853. shaped, and of similar size to the nearby Oakley Square, but halved in area by the railway approach cutting into / out of Euston Station. The estate is seriously affected by proposed HS2 works.The 3 system built high rise tower blocks were immortalised on canvas by local artist Frank Auerbach, but became notorious for drug-dealing and rough sleeping. In 2005-2010 a long overdue £20 million regeneration took place. Extensive consultation indicated that security was top priority. This, together with lighting and environmental improvement works improved the lives of residents. More recently the estate has effectively become a gated communitywith further improved safety and security as a result.</w:t>
      </w:r>
    </w:p>
    <w:p>
      <w:pPr>
        <w:pStyle w:val="Normal"/>
        <w:spacing w:lineRule="auto" w:line="240"/>
        <w:jc w:val="left"/>
        <w:rPr/>
      </w:pPr>
      <w:r>
        <w:rPr>
          <w:b/>
          <w:bCs/>
          <w:i w:val="false"/>
          <w:caps w:val="false"/>
          <w:smallCaps w:val="false"/>
          <w:color w:val="3A3A3A"/>
          <w:spacing w:val="0"/>
          <w:sz w:val="24"/>
          <w:szCs w:val="24"/>
          <w:u w:val="single"/>
        </w:rPr>
        <w:t xml:space="preserve">LB Camden : </w:t>
      </w:r>
    </w:p>
    <w:p>
      <w:pPr>
        <w:pStyle w:val="Normal"/>
        <w:spacing w:lineRule="auto" w:line="240"/>
        <w:jc w:val="left"/>
        <w:rPr/>
      </w:pPr>
      <w:r>
        <w:rPr>
          <w:b/>
          <w:bCs/>
          <w:i w:val="false"/>
          <w:caps w:val="false"/>
          <w:smallCaps w:val="false"/>
          <w:color w:val="3A3A3A"/>
          <w:spacing w:val="0"/>
          <w:sz w:val="24"/>
          <w:szCs w:val="24"/>
          <w:u w:val="single"/>
        </w:rPr>
        <w:t>Mayford Estate . Architect - Eric Lyons  designed 1971</w:t>
      </w:r>
    </w:p>
    <w:p>
      <w:pPr>
        <w:pStyle w:val="BodyText"/>
        <w:spacing w:lineRule="auto" w:line="240"/>
        <w:jc w:val="left"/>
        <w:rPr>
          <w:b w:val="false"/>
          <w:bCs w:val="false"/>
        </w:rPr>
      </w:pPr>
      <w:r>
        <w:rPr>
          <w:b w:val="false"/>
          <w:bCs w:val="false"/>
          <w:i w:val="false"/>
          <w:caps w:val="false"/>
          <w:smallCaps w:val="false"/>
          <w:color w:val="000000"/>
          <w:spacing w:val="0"/>
          <w:sz w:val="24"/>
          <w:szCs w:val="24"/>
          <w:u w:val="none"/>
        </w:rPr>
        <w:t>Having worked for Walter Gropius and Maxwell Fry, Eric Lyons (1912-1980) co-founded the development company Span in 1948, along with Geoffrey Townsend and Leslie Bilsby. Much of his work was carried out in a suburban context.  Schemes such as the Mayford Estate necessarily had to be denser in form and layout  (including underground car parking). Nevertheless, Mayford broadly illustrates the Span ideals of :-</w:t>
      </w:r>
    </w:p>
    <w:p>
      <w:pPr>
        <w:pStyle w:val="Normal"/>
        <w:widowControl/>
        <w:numPr>
          <w:ilvl w:val="0"/>
          <w:numId w:val="3"/>
        </w:numPr>
        <w:jc w:val="both"/>
        <w:rPr>
          <w:b w:val="false"/>
          <w:bCs w:val="false"/>
        </w:rPr>
      </w:pPr>
      <w:r>
        <w:rPr>
          <w:b w:val="false"/>
          <w:bCs w:val="false"/>
        </w:rPr>
        <w:t xml:space="preserve">generous communal landscaping  </w:t>
      </w:r>
    </w:p>
    <w:p>
      <w:pPr>
        <w:pStyle w:val="Normal"/>
        <w:widowControl/>
        <w:numPr>
          <w:ilvl w:val="0"/>
          <w:numId w:val="3"/>
        </w:numPr>
        <w:jc w:val="both"/>
        <w:rPr>
          <w:b w:val="false"/>
          <w:bCs w:val="false"/>
        </w:rPr>
      </w:pPr>
      <w:r>
        <w:rPr>
          <w:b w:val="false"/>
          <w:bCs w:val="false"/>
        </w:rPr>
        <w:t>modern style brick building</w:t>
      </w:r>
    </w:p>
    <w:p>
      <w:pPr>
        <w:pStyle w:val="Normal"/>
        <w:widowControl/>
        <w:numPr>
          <w:ilvl w:val="0"/>
          <w:numId w:val="3"/>
        </w:numPr>
        <w:spacing w:lineRule="auto" w:line="240"/>
        <w:jc w:val="both"/>
        <w:rPr>
          <w:b w:val="false"/>
          <w:bCs w:val="false"/>
        </w:rPr>
      </w:pPr>
      <w:r>
        <w:rPr>
          <w:b w:val="false"/>
          <w:bCs w:val="false"/>
          <w:i w:val="false"/>
          <w:caps w:val="false"/>
          <w:smallCaps w:val="false"/>
          <w:color w:val="000000"/>
          <w:spacing w:val="0"/>
          <w:sz w:val="24"/>
          <w:szCs w:val="24"/>
          <w:u w:val="none"/>
        </w:rPr>
        <w:t>Residents Associations legally set up so that all purchasers became covenanted members who were obliged to maintain their own properties.</w:t>
      </w:r>
    </w:p>
    <w:p>
      <w:pPr>
        <w:pStyle w:val="Normal"/>
        <w:widowControl/>
        <w:numPr>
          <w:ilvl w:val="0"/>
          <w:numId w:val="0"/>
        </w:numPr>
        <w:spacing w:lineRule="auto" w:line="240"/>
        <w:ind w:hanging="0" w:left="720"/>
        <w:jc w:val="both"/>
        <w:rPr>
          <w:sz w:val="12"/>
          <w:szCs w:val="12"/>
        </w:rPr>
      </w:pPr>
      <w:r>
        <w:rPr>
          <w:sz w:val="12"/>
          <w:szCs w:val="12"/>
        </w:rPr>
      </w:r>
    </w:p>
    <w:p>
      <w:pPr>
        <w:pStyle w:val="Normal"/>
        <w:spacing w:lineRule="auto" w:line="240"/>
        <w:jc w:val="left"/>
        <w:rPr/>
      </w:pPr>
      <w:r>
        <w:rPr>
          <w:b/>
          <w:bCs/>
          <w:i w:val="false"/>
          <w:caps w:val="false"/>
          <w:smallCaps w:val="false"/>
          <w:color w:val="3A3A3A"/>
          <w:spacing w:val="0"/>
          <w:sz w:val="24"/>
          <w:szCs w:val="24"/>
          <w:u w:val="single"/>
        </w:rPr>
        <w:t>LB Camden</w:t>
      </w:r>
    </w:p>
    <w:p>
      <w:pPr>
        <w:pStyle w:val="Normal"/>
        <w:spacing w:lineRule="auto" w:line="240"/>
        <w:jc w:val="left"/>
        <w:rPr/>
      </w:pPr>
      <w:r>
        <w:rPr>
          <w:b/>
          <w:bCs/>
          <w:i w:val="false"/>
          <w:caps w:val="false"/>
          <w:smallCaps w:val="false"/>
          <w:color w:val="3A3A3A"/>
          <w:spacing w:val="0"/>
          <w:sz w:val="24"/>
          <w:szCs w:val="24"/>
          <w:u w:val="single"/>
        </w:rPr>
        <w:t>Oakshott Court  : Architect – Peter Tabori and Roman Halter Associates / James Gowan : 1969 – 1971 / 1976</w:t>
      </w:r>
    </w:p>
    <w:p>
      <w:pPr>
        <w:pStyle w:val="BodyText"/>
        <w:widowControl/>
        <w:spacing w:lineRule="auto" w:line="240"/>
        <w:jc w:val="left"/>
        <w:rPr>
          <w:b w:val="false"/>
          <w:bCs w:val="false"/>
        </w:rPr>
      </w:pPr>
      <w:r>
        <w:rPr>
          <w:b w:val="false"/>
          <w:bCs w:val="false"/>
          <w:i w:val="false"/>
          <w:caps w:val="false"/>
          <w:smallCaps w:val="false"/>
          <w:color w:val="3A3A3A"/>
          <w:spacing w:val="0"/>
          <w:sz w:val="24"/>
          <w:szCs w:val="24"/>
          <w:u w:val="none"/>
        </w:rPr>
        <w:t>The original Polygon was replaced in 1894 by Polygon Buildings : 4 parallel blocks of railwayworkers flats. which, over the years fell below modern housing standards and were in turn replaced by Oakshott Court. P</w:t>
      </w:r>
      <w:r>
        <w:rPr>
          <w:b w:val="false"/>
          <w:bCs w:val="false"/>
          <w:i w:val="false"/>
          <w:caps w:val="false"/>
          <w:smallCaps w:val="false"/>
          <w:color w:val="444444"/>
          <w:spacing w:val="0"/>
          <w:sz w:val="24"/>
          <w:szCs w:val="24"/>
          <w:u w:val="none"/>
        </w:rPr>
        <w:t>eter Tabori’s design was based on his Highgate New Town scheme. Pedestrians and vehicles are segregated. The highly unusual stepped back chevron plan allows for maximum daylight and sunlight to all flats. Parking is underground .</w:t>
      </w:r>
    </w:p>
    <w:p>
      <w:pPr>
        <w:pStyle w:val="Normal"/>
        <w:spacing w:lineRule="auto" w:line="240"/>
        <w:jc w:val="left"/>
        <w:rPr/>
      </w:pPr>
      <w:r>
        <w:rPr>
          <w:b/>
          <w:bCs/>
          <w:i w:val="false"/>
          <w:caps w:val="false"/>
          <w:smallCaps w:val="false"/>
          <w:color w:val="444444"/>
          <w:spacing w:val="0"/>
          <w:sz w:val="24"/>
          <w:szCs w:val="24"/>
          <w:u w:val="single"/>
        </w:rPr>
        <w:t>LB Camden</w:t>
      </w:r>
    </w:p>
    <w:p>
      <w:pPr>
        <w:pStyle w:val="Normal"/>
        <w:spacing w:lineRule="auto" w:line="240"/>
        <w:jc w:val="left"/>
        <w:rPr/>
      </w:pPr>
      <w:r>
        <w:rPr>
          <w:b/>
          <w:bCs/>
          <w:i w:val="false"/>
          <w:caps w:val="false"/>
          <w:smallCaps w:val="false"/>
          <w:color w:val="444444"/>
          <w:spacing w:val="0"/>
          <w:sz w:val="24"/>
          <w:szCs w:val="24"/>
          <w:u w:val="single"/>
        </w:rPr>
        <w:t>Monica Shaw Court : Designed for Camden Community Housing Association : by Architect – Gerd Kaufmann and Jim Scott Partnership 1969 – 1971 : Built by LB Camden 1975 – 1978.</w:t>
      </w:r>
    </w:p>
    <w:p>
      <w:pPr>
        <w:pStyle w:val="Normal"/>
        <w:spacing w:lineRule="auto" w:line="240"/>
        <w:jc w:val="left"/>
        <w:rPr>
          <w:b w:val="false"/>
          <w:bCs w:val="false"/>
          <w:i w:val="false"/>
          <w:i w:val="false"/>
          <w:caps w:val="false"/>
          <w:smallCaps w:val="false"/>
          <w:color w:val="3A3A3A"/>
          <w:spacing w:val="0"/>
          <w:sz w:val="24"/>
          <w:szCs w:val="24"/>
        </w:rPr>
      </w:pPr>
      <w:r>
        <w:rPr>
          <w:b w:val="false"/>
          <w:bCs w:val="false"/>
          <w:i w:val="false"/>
          <w:caps w:val="false"/>
          <w:smallCaps w:val="false"/>
          <w:color w:val="444444"/>
          <w:spacing w:val="0"/>
          <w:sz w:val="24"/>
          <w:szCs w:val="24"/>
          <w:u w:val="none"/>
        </w:rPr>
        <w:t xml:space="preserve">The site had been occupied by the Hampden Club and railwayman’s hostel. It formed part of a 2.1 acre island site shared with Phoenix Court, a St Pancras HA housing estate. The brief was complex – as well as housing it included a Community Hall and pre – school Nursery, plus car parking at a 1 – 1 ratio. The scheme comprised , to the north, a pair of 6 storey buildings, the longer of which, facing Polygon Road , included 2 floors for the Nursery to the west, a 4 storey building end – on to Ossulston Street containing the Community Hall (STCA) with flats above and , to the south, a pair of 3 to 4 storey buildings end – on to Brill Place with a landscaped court between them. Access to the upper units was by access decks  employing Scott’s “Housing design reference” in the process. </w:t>
      </w:r>
    </w:p>
    <w:p>
      <w:pPr>
        <w:pStyle w:val="Normal"/>
        <w:spacing w:lineRule="auto" w:line="240"/>
        <w:jc w:val="left"/>
        <w:rPr>
          <w:sz w:val="12"/>
          <w:szCs w:val="12"/>
        </w:rPr>
      </w:pPr>
      <w:r>
        <w:rPr>
          <w:sz w:val="12"/>
          <w:szCs w:val="12"/>
        </w:rPr>
      </w:r>
    </w:p>
    <w:p>
      <w:pPr>
        <w:pStyle w:val="Normal"/>
        <w:spacing w:lineRule="auto" w:line="240"/>
        <w:jc w:val="left"/>
        <w:rPr/>
      </w:pPr>
      <w:r>
        <w:rPr>
          <w:b/>
          <w:bCs/>
          <w:i w:val="false"/>
          <w:caps w:val="false"/>
          <w:smallCaps w:val="false"/>
          <w:color w:val="444444"/>
          <w:spacing w:val="0"/>
          <w:sz w:val="24"/>
          <w:szCs w:val="24"/>
          <w:u w:val="single"/>
        </w:rPr>
        <w:t>LB Camden</w:t>
      </w:r>
    </w:p>
    <w:p>
      <w:pPr>
        <w:pStyle w:val="Normal"/>
        <w:spacing w:lineRule="auto" w:line="240"/>
        <w:jc w:val="left"/>
        <w:rPr/>
      </w:pPr>
      <w:r>
        <w:rPr>
          <w:b/>
          <w:bCs/>
          <w:i w:val="false"/>
          <w:caps w:val="false"/>
          <w:smallCaps w:val="false"/>
          <w:color w:val="444444"/>
          <w:spacing w:val="0"/>
          <w:sz w:val="24"/>
          <w:szCs w:val="24"/>
          <w:u w:val="single"/>
        </w:rPr>
        <w:t>Coopers Lane Estate : Architect : Director of Technical Services / Project Architect : Mike Purdy.  Landscape Architect : Michael Brown Partnership.  Built 1978-81.</w:t>
      </w:r>
    </w:p>
    <w:p>
      <w:pPr>
        <w:pStyle w:val="BodyText"/>
        <w:spacing w:lineRule="auto" w:line="240"/>
        <w:jc w:val="left"/>
        <w:rPr/>
      </w:pPr>
      <w:r>
        <w:rPr>
          <w:b w:val="false"/>
          <w:bCs w:val="false"/>
          <w:i w:val="false"/>
          <w:caps w:val="false"/>
          <w:smallCaps w:val="false"/>
          <w:color w:val="444444"/>
          <w:spacing w:val="0"/>
          <w:sz w:val="24"/>
          <w:szCs w:val="24"/>
          <w:u w:val="none"/>
        </w:rPr>
        <w:t>A detailed Planning Brief 1975 culminated in purchase and development of this former Railway Coal Depot by Camden Borough Council. The bulk of the site (1.5ha) is laid out along semi Radburn lines ie mainly 2 – 4 storey terraced housing / flats either side of, and fronting onto, a largely pedestrian N-S through route with accompanying hard and soft landscaping.  Cars and other vehicles are consigned to the eastern edge of the development. In total there are 169 units ranging from 1 to 5 bed . The estate includes a block of 46 Warden supported units for the elderly (with lift) together with a number of ground floor flats and houses specially designed for the disabled.  Many of the properties have private gardens , others have balconies. These properties back up immediately onto / overlook the remainder of the site (0.4ha) which was originally known as Somers Green. This is designated Public Open Space, and is currently an attractive pocket park** with many mature trees .</w:t>
      </w:r>
    </w:p>
    <w:p>
      <w:pPr>
        <w:pStyle w:val="BodyText"/>
        <w:spacing w:lineRule="auto" w:line="240"/>
        <w:jc w:val="left"/>
        <w:rPr/>
      </w:pPr>
      <w:r>
        <w:rPr>
          <w:b w:val="false"/>
          <w:bCs w:val="false"/>
          <w:i w:val="false"/>
          <w:caps w:val="false"/>
          <w:smallCaps w:val="false"/>
          <w:color w:val="444444"/>
          <w:spacing w:val="0"/>
          <w:sz w:val="24"/>
          <w:szCs w:val="24"/>
          <w:u w:val="none"/>
        </w:rPr>
        <w:t>The estate had to put up with planning blight and eventual construction of the Channel Tunnel Rail Link  (now known as HS1) which finally opened in 2007. As some recompense, the estate benefitted from a particularly attractive Tenants Hall with adjoining Community Garden.** (Planning Gain Agreement).</w:t>
      </w:r>
      <w:r>
        <w:rPr>
          <w:b/>
          <w:bCs/>
          <w:i w:val="false"/>
          <w:caps w:val="false"/>
          <w:smallCaps w:val="false"/>
          <w:color w:val="444444"/>
          <w:spacing w:val="0"/>
          <w:sz w:val="24"/>
          <w:szCs w:val="24"/>
          <w:u w:val="none"/>
        </w:rPr>
        <w:t xml:space="preserve">  </w:t>
      </w:r>
      <w:r>
        <w:rPr>
          <w:b w:val="false"/>
          <w:bCs w:val="false"/>
          <w:i w:val="false"/>
          <w:caps w:val="false"/>
          <w:smallCaps w:val="false"/>
          <w:color w:val="444444"/>
          <w:spacing w:val="0"/>
          <w:sz w:val="24"/>
          <w:szCs w:val="24"/>
          <w:u w:val="none"/>
        </w:rPr>
        <w:t xml:space="preserve"> The Tenants Hall provided the location for the Public Inquiry resulting in the only successful appeal, (by Coopers Lane TRA and LB Camden working in partnership),  into breaches by contractors, of the CTRL Code of Construction Practice, </w:t>
      </w:r>
    </w:p>
    <w:p>
      <w:pPr>
        <w:pStyle w:val="BodyText"/>
        <w:spacing w:lineRule="auto" w:line="240"/>
        <w:jc w:val="left"/>
        <w:rPr>
          <w:b w:val="false"/>
          <w:bCs w:val="false"/>
        </w:rPr>
      </w:pPr>
      <w:r>
        <w:rPr>
          <w:b/>
          <w:bCs/>
          <w:i w:val="false"/>
          <w:caps w:val="false"/>
          <w:smallCaps w:val="false"/>
          <w:color w:val="3A3A3A"/>
          <w:spacing w:val="0"/>
          <w:sz w:val="24"/>
          <w:szCs w:val="24"/>
          <w:u w:val="none"/>
        </w:rPr>
        <w:t>ESTATE REGENERATION</w:t>
      </w:r>
    </w:p>
    <w:p>
      <w:pPr>
        <w:pStyle w:val="BodyText"/>
        <w:spacing w:lineRule="auto" w:line="240"/>
        <w:jc w:val="left"/>
        <w:rPr>
          <w:b w:val="false"/>
          <w:bCs w:val="false"/>
        </w:rPr>
      </w:pPr>
      <w:r>
        <w:rPr>
          <w:b w:val="false"/>
          <w:bCs w:val="false"/>
          <w:i w:val="false"/>
          <w:caps w:val="false"/>
          <w:smallCaps w:val="false"/>
          <w:color w:val="3A3A3A"/>
          <w:spacing w:val="0"/>
          <w:sz w:val="24"/>
          <w:szCs w:val="24"/>
          <w:u w:val="none"/>
        </w:rPr>
        <w:t>** Following a long period of cuts to Local Government, LB Camden introduced a new regeneration policy called the Community Investment Programme (CIP). This is designed in part to realise the value of certain Council owned assets</w:t>
      </w:r>
      <w:r>
        <w:rPr>
          <w:b w:val="false"/>
          <w:bCs w:val="false"/>
          <w:i w:val="false"/>
          <w:caps w:val="false"/>
          <w:smallCaps w:val="false"/>
          <w:color w:val="000000"/>
          <w:spacing w:val="0"/>
          <w:sz w:val="24"/>
          <w:szCs w:val="24"/>
          <w:u w:val="none"/>
        </w:rPr>
        <w:t xml:space="preserve"> and, in partnership with private / charitable developers, jointly build housing units – most for private sale, some for “social rent”, together with other elements of community infrastructure such as schools .  In 2016  planning permission was granted by Camden for a major CIP scheme of new development in central Somers Town. This included a 22 storey apartment block (Brill Place) on a small but critical, part of the pocket park at </w:t>
      </w:r>
      <w:r>
        <w:rPr>
          <w:b/>
          <w:bCs/>
          <w:i w:val="false"/>
          <w:caps w:val="false"/>
          <w:smallCaps w:val="false"/>
          <w:color w:val="000000"/>
          <w:spacing w:val="0"/>
          <w:sz w:val="24"/>
          <w:szCs w:val="24"/>
          <w:u w:val="none"/>
        </w:rPr>
        <w:t xml:space="preserve">Coopers Lane Estate </w:t>
      </w:r>
      <w:r>
        <w:rPr>
          <w:b w:val="false"/>
          <w:bCs w:val="false"/>
          <w:i w:val="false"/>
          <w:caps w:val="false"/>
          <w:smallCaps w:val="false"/>
          <w:color w:val="000000"/>
          <w:spacing w:val="0"/>
          <w:sz w:val="24"/>
          <w:szCs w:val="24"/>
          <w:u w:val="none"/>
        </w:rPr>
        <w:t>and redevelopment / replacement of both the Tenants Hall and Community Garden. Since then a reputed £17 million deal has been concluded to sell the Brill Place site on to a Hong Kong based joint venture. Construction is due to start in 2020.</w:t>
      </w:r>
    </w:p>
    <w:p>
      <w:pPr>
        <w:pStyle w:val="BodyText"/>
        <w:spacing w:lineRule="auto" w:line="240" w:before="0" w:after="140"/>
        <w:jc w:val="left"/>
        <w:rPr/>
      </w:pPr>
      <w:r>
        <w:rPr>
          <w:b/>
          <w:bCs/>
        </w:rPr>
        <w:t>MSP      November 2019</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Helvetica">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4"/>
        <w:b w:val="false"/>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4"/>
        <w:b w:val="false"/>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kern w:val="2"/>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imSun" w:cs="Arial"/>
      <w:color w:val="00000A"/>
      <w:kern w:val="2"/>
      <w:sz w:val="24"/>
      <w:szCs w:val="24"/>
      <w:lang w:val="en-GB" w:eastAsia="zh-CN" w:bidi="hi-IN"/>
    </w:rPr>
  </w:style>
  <w:style w:type="character" w:styleId="Hyperlink">
    <w:name w:val="Hyperlink"/>
    <w:qFormat/>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VisitedInternetLink">
    <w:name w:val="Visited Internet Link"/>
    <w:qFormat/>
    <w:rPr>
      <w:color w:val="800000"/>
      <w:u w:val="single"/>
      <w:lang w:val="zxx" w:eastAsia="zxx" w:bidi="zxx"/>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istoricengland.org.uk/images-books/publications/conservation-area-appraisal-designation-management-advice-note-1/" TargetMode="External"/><Relationship Id="rId3" Type="http://schemas.openxmlformats.org/officeDocument/2006/relationships/hyperlink" Target="https://historicengland.org.uk/images-books/publications/understanding-place-historic-area-assessments/" TargetMode="External"/><Relationship Id="rId4" Type="http://schemas.openxmlformats.org/officeDocument/2006/relationships/image" Target="media/image1.png"/><Relationship Id="rId5" Type="http://schemas.openxmlformats.org/officeDocument/2006/relationships/hyperlink" Target="https://en.wikipedia.org/wiki/Middlesex" TargetMode="External"/><Relationship Id="rId6" Type="http://schemas.openxmlformats.org/officeDocument/2006/relationships/hyperlink" Target="https://en.wikipedia.org/wiki/G._Topham_Forrest" TargetMode="External"/><Relationship Id="rId7" Type="http://schemas.openxmlformats.org/officeDocument/2006/relationships/hyperlink" Target="https://en.wikipedia.org/wiki/Karl_Marx-Hof" TargetMode="External"/><Relationship Id="rId8" Type="http://schemas.openxmlformats.org/officeDocument/2006/relationships/hyperlink" Target="https://www.history.ac.uk/podcasts/voluntary-action-history/untold-story-st-pancras-house-improvement-society-more-charismatic"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343</TotalTime>
  <Application>LibreOffice/24.8.4.2$Windows_X86_64 LibreOffice_project/bb3cfa12c7b1bf994ecc5649a80400d06cd71002</Application>
  <AppVersion>15.0000</AppVersion>
  <Pages>6</Pages>
  <Words>3287</Words>
  <Characters>17584</Characters>
  <CharactersWithSpaces>20929</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2019-10-30T08:37:23Z</dcterms:created>
  <dc:creator/>
  <dc:description/>
  <dc:language>en-GB</dc:language>
  <cp:lastModifiedBy/>
  <dcterms:modified xsi:type="dcterms:W3CDTF">2025-04-08T08:37:26Z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