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FraudShield</w:t>
      </w:r>
    </w:p>
    <w:p>
      <w:pPr>
        <w:spacing w:after="120"/>
        <w:jc w:val="center"/>
      </w:pPr>
      <w:r>
        <w:rPr>
          <w:rFonts w:ascii="Arial" w:cs="Arial" w:eastAsia="Arial" w:hAnsi="Arial"/>
          <w:color w:val="2C3E50"/>
          <w:sz w:val="36"/>
          <w:szCs w:val="36"/>
        </w:rPr>
        <w:t xml:space="preserve">AI-Powered Fraud Detection Platform</w:t>
      </w:r>
    </w:p>
    <w:p>
      <w:pPr>
        <w:pBdr>
          <w:bottom w:val="single" w:color="2E86C1" w:sz="6" w:space="1"/>
        </w:pBdr>
        <w:spacing w:after="600"/>
        <w:jc w:val="center"/>
      </w:pPr>
      <w:r>
        <w:rPr>
          <w:rFonts w:ascii="Arial" w:cs="Arial" w:eastAsia="Arial" w:hAnsi="Arial"/>
          <w:color w:val="7F8C8D"/>
          <w:sz w:val="24"/>
          <w:szCs w:val="24"/>
        </w:rPr>
        <w:t xml:space="preserve">Technical Architecture &amp; System Documentation</w:t>
      </w:r>
    </w:p>
    <w:p>
      <w:pPr>
        <w:spacing w:before="600"/>
      </w:pPr>
    </w:p>
    <w:p>
      <w:pPr>
        <w:spacing w:after="80"/>
        <w:jc w:val="center"/>
      </w:pPr>
      <w:r>
        <w:rPr>
          <w:rFonts w:ascii="Arial" w:cs="Arial" w:eastAsia="Arial" w:hAnsi="Arial"/>
          <w:color w:val="7F8C8D"/>
          <w:sz w:val="22"/>
          <w:szCs w:val="22"/>
        </w:rPr>
        <w:t xml:space="preserve">Version 1.0</w:t>
      </w:r>
    </w:p>
    <w:p>
      <w:pPr>
        <w:spacing w:after="80"/>
        <w:jc w:val="center"/>
      </w:pPr>
      <w:r>
        <w:rPr>
          <w:rFonts w:ascii="Arial" w:cs="Arial" w:eastAsia="Arial" w:hAnsi="Arial"/>
          <w:color w:val="7F8C8D"/>
          <w:sz w:val="22"/>
          <w:szCs w:val="22"/>
        </w:rPr>
        <w:t xml:space="preserve">June 2026</w:t>
      </w:r>
    </w:p>
    <w:p>
      <w:pPr>
        <w:jc w:val="center"/>
      </w:pPr>
      <w:r>
        <w:rPr>
          <w:rFonts w:ascii="Arial" w:cs="Arial" w:eastAsia="Arial" w:hAnsi="Arial"/>
          <w:i/>
          <w:iCs/>
          <w:color w:val="7F8C8D"/>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1. Executive Summary</w:t>
      </w:r>
    </w:p>
    <w:p>
      <w:pPr>
        <w:spacing w:after="160" w:line="276"/>
      </w:pPr>
      <w:r>
        <w:rPr>
          <w:rFonts w:ascii="Arial" w:cs="Arial" w:eastAsia="Arial" w:hAnsi="Arial"/>
          <w:sz w:val="22"/>
          <w:szCs w:val="22"/>
        </w:rPr>
        <w:t xml:space="preserve">FraudShield is a real-time fraud detection platform built for telecommunications service providers. It identifies fraudulent service orders by combining a traditional rule-based scoring engine with four machine learning layers that analyze orders from multiple angles simultaneously.</w:t>
      </w:r>
    </w:p>
    <w:p>
      <w:pPr>
        <w:spacing w:after="160" w:line="276"/>
      </w:pPr>
      <w:r>
        <w:rPr>
          <w:rFonts w:ascii="Arial" w:cs="Arial" w:eastAsia="Arial" w:hAnsi="Arial"/>
          <w:sz w:val="22"/>
          <w:szCs w:val="22"/>
        </w:rPr>
        <w:t xml:space="preserve">Unlike simple rule-based systems, FraudShield learns from data patterns to detect previously unknown fraud schemes, scores orders in real time as they arrive, and provides full explainability for every risk score it generates. The system is designed for the specific pattern of telecom fraud where bad actors disconnect service at one address and immediately reconnect under a different name at the same or similar address to avoid paying outstanding balances.</w:t>
      </w:r>
    </w:p>
    <w:p>
      <w:pPr>
        <w:pStyle w:val="Heading2"/>
        <w:spacing w:after="160" w:before="280"/>
      </w:pPr>
      <w:r>
        <w:rPr>
          <w:rFonts w:ascii="Arial" w:cs="Arial" w:eastAsia="Arial" w:hAnsi="Arial"/>
          <w:b/>
          <w:bCs/>
          <w:color w:val="2C3E50"/>
          <w:sz w:val="28"/>
          <w:szCs w:val="28"/>
        </w:rPr>
        <w:t xml:space="preserve">Key Capabilities</w:t>
      </w:r>
    </w:p>
    <w:p>
      <w:pPr>
        <w:pStyle w:val="ListParagraph"/>
        <w:numPr>
          <w:ilvl w:val="0"/>
          <w:numId w:val="2"/>
        </w:numPr>
        <w:spacing w:after="80"/>
      </w:pPr>
      <w:r>
        <w:rPr>
          <w:rFonts w:ascii="Arial" w:cs="Arial" w:eastAsia="Arial" w:hAnsi="Arial"/>
          <w:b/>
          <w:bCs/>
          <w:sz w:val="22"/>
          <w:szCs w:val="22"/>
        </w:rPr>
        <w:t xml:space="preserve">Five-layer scoring architecture</w:t>
      </w:r>
      <w:r>
        <w:rPr>
          <w:rFonts w:ascii="Arial" w:cs="Arial" w:eastAsia="Arial" w:hAnsi="Arial"/>
          <w:sz w:val="22"/>
          <w:szCs w:val="22"/>
        </w:rPr>
        <w:t xml:space="preserve"> blending rule-based pattern matching with unsupervised anomaly detection, fuzzy string matching, predictive ML, and graph-based fraud ring detection</w:t>
      </w:r>
    </w:p>
    <w:p>
      <w:pPr>
        <w:pStyle w:val="ListParagraph"/>
        <w:numPr>
          <w:ilvl w:val="0"/>
          <w:numId w:val="2"/>
        </w:numPr>
        <w:spacing w:after="80"/>
      </w:pPr>
      <w:r>
        <w:rPr>
          <w:rFonts w:ascii="Arial" w:cs="Arial" w:eastAsia="Arial" w:hAnsi="Arial"/>
          <w:b/>
          <w:bCs/>
          <w:sz w:val="22"/>
          <w:szCs w:val="22"/>
        </w:rPr>
        <w:t xml:space="preserve">Real-time scoring</w:t>
      </w:r>
      <w:r>
        <w:rPr>
          <w:rFonts w:ascii="Arial" w:cs="Arial" w:eastAsia="Arial" w:hAnsi="Arial"/>
          <w:sz w:val="22"/>
          <w:szCs w:val="22"/>
        </w:rPr>
        <w:t xml:space="preserve"> via REST API endpoints that score individual orders or batch-process entire datasets</w:t>
      </w:r>
    </w:p>
    <w:p>
      <w:pPr>
        <w:pStyle w:val="ListParagraph"/>
        <w:numPr>
          <w:ilvl w:val="0"/>
          <w:numId w:val="2"/>
        </w:numPr>
        <w:spacing w:after="80"/>
      </w:pPr>
      <w:r>
        <w:rPr>
          <w:rFonts w:ascii="Arial" w:cs="Arial" w:eastAsia="Arial" w:hAnsi="Arial"/>
          <w:b/>
          <w:bCs/>
          <w:sz w:val="22"/>
          <w:szCs w:val="22"/>
        </w:rPr>
        <w:t xml:space="preserve">AI-powered case analysis</w:t>
      </w:r>
      <w:r>
        <w:rPr>
          <w:rFonts w:ascii="Arial" w:cs="Arial" w:eastAsia="Arial" w:hAnsi="Arial"/>
          <w:sz w:val="22"/>
          <w:szCs w:val="22"/>
        </w:rPr>
        <w:t xml:space="preserve"> using Claude (Anthropic) to generate investigative summaries and provide an analyst chat interface for each case</w:t>
      </w:r>
    </w:p>
    <w:p>
      <w:pPr>
        <w:pStyle w:val="ListParagraph"/>
        <w:numPr>
          <w:ilvl w:val="0"/>
          <w:numId w:val="2"/>
        </w:numPr>
        <w:spacing w:after="80"/>
      </w:pPr>
      <w:r>
        <w:rPr>
          <w:rFonts w:ascii="Arial" w:cs="Arial" w:eastAsia="Arial" w:hAnsi="Arial"/>
          <w:b/>
          <w:bCs/>
          <w:sz w:val="22"/>
          <w:szCs w:val="22"/>
        </w:rPr>
        <w:t xml:space="preserve">Self-improving feedback loop</w:t>
      </w:r>
      <w:r>
        <w:rPr>
          <w:rFonts w:ascii="Arial" w:cs="Arial" w:eastAsia="Arial" w:hAnsi="Arial"/>
          <w:sz w:val="22"/>
          <w:szCs w:val="22"/>
        </w:rPr>
        <w:t xml:space="preserve"> that analyzes resolved case outcomes to recommend scoring weight adjustments</w:t>
      </w:r>
    </w:p>
    <w:p>
      <w:pPr>
        <w:pStyle w:val="ListParagraph"/>
        <w:numPr>
          <w:ilvl w:val="0"/>
          <w:numId w:val="2"/>
        </w:numPr>
        <w:spacing w:after="80"/>
      </w:pPr>
      <w:r>
        <w:rPr>
          <w:rFonts w:ascii="Arial" w:cs="Arial" w:eastAsia="Arial" w:hAnsi="Arial"/>
          <w:b/>
          <w:bCs/>
          <w:sz w:val="22"/>
          <w:szCs w:val="22"/>
        </w:rPr>
        <w:t xml:space="preserve">Agent tracking</w:t>
      </w:r>
      <w:r>
        <w:rPr>
          <w:rFonts w:ascii="Arial" w:cs="Arial" w:eastAsia="Arial" w:hAnsi="Arial"/>
          <w:sz w:val="22"/>
          <w:szCs w:val="22"/>
        </w:rPr>
        <w:t xml:space="preserve"> that monitors sales agent codes for disproportionate volumes of high-risk orders</w:t>
      </w:r>
    </w:p>
    <w:p>
      <w:pPr>
        <w:pStyle w:val="ListParagraph"/>
        <w:numPr>
          <w:ilvl w:val="0"/>
          <w:numId w:val="2"/>
        </w:numPr>
        <w:spacing w:after="200"/>
      </w:pPr>
      <w:r>
        <w:rPr>
          <w:rFonts w:ascii="Arial" w:cs="Arial" w:eastAsia="Arial" w:hAnsi="Arial"/>
          <w:b/>
          <w:bCs/>
          <w:sz w:val="22"/>
          <w:szCs w:val="22"/>
        </w:rPr>
        <w:t xml:space="preserve">Full audit trail</w:t>
      </w:r>
      <w:r>
        <w:rPr>
          <w:rFonts w:ascii="Arial" w:cs="Arial" w:eastAsia="Arial" w:hAnsi="Arial"/>
          <w:sz w:val="22"/>
          <w:szCs w:val="22"/>
        </w:rPr>
        <w:t xml:space="preserve"> with immutable logging of every action, assignment, and resolution for compliance</w:t>
      </w:r>
    </w:p>
    <w:p>
      <w:r>
        <w:br w:type="page"/>
      </w:r>
    </w:p>
    <w:p>
      <w:pPr>
        <w:pStyle w:val="Heading1"/>
        <w:spacing w:after="200" w:before="360"/>
      </w:pPr>
      <w:r>
        <w:rPr>
          <w:rFonts w:ascii="Arial" w:cs="Arial" w:eastAsia="Arial" w:hAnsi="Arial"/>
          <w:b/>
          <w:bCs/>
          <w:color w:val="1B4F72"/>
          <w:sz w:val="32"/>
          <w:szCs w:val="32"/>
        </w:rPr>
        <w:t xml:space="preserve">2. System Architecture</w:t>
      </w:r>
    </w:p>
    <w:p>
      <w:pPr>
        <w:spacing w:after="160" w:line="276"/>
      </w:pPr>
      <w:r>
        <w:rPr>
          <w:rFonts w:ascii="Arial" w:cs="Arial" w:eastAsia="Arial" w:hAnsi="Arial"/>
          <w:sz w:val="22"/>
          <w:szCs w:val="22"/>
        </w:rPr>
        <w:t xml:space="preserve">FraudShield is a full-stack web application built with Next.js 14 (App Router), deployed on Vercel, with a PostgreSQL database hosted on Neon. The application follows a modern serverless architecture where API routes handle scoring logic and the React frontend provides the analyst dashboard.</w:t>
      </w:r>
    </w:p>
    <w:p>
      <w:pPr>
        <w:pStyle w:val="Heading2"/>
        <w:spacing w:after="160" w:before="280"/>
      </w:pPr>
      <w:r>
        <w:rPr>
          <w:rFonts w:ascii="Arial" w:cs="Arial" w:eastAsia="Arial" w:hAnsi="Arial"/>
          <w:b/>
          <w:bCs/>
          <w:color w:val="2C3E50"/>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Next.js 14, React, Tailwind CSS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Analyst dashboard, case management UI</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Next.js API Routes (serverless)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REST API, scoring pipeline, ML inference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PostgreSQL (Neon serverless)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Orders, cases, users, audit log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ORM</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Drizzle ORM</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Type-safe database queries and migrations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Authentication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NextAuth.js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Google OAuth, role-based access control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AI Integration</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Anthropic Claude SDK</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Case summaries, analyst chat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ML Runtime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Pure TypeScript (no dependencies)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All ML models run in-process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Deployment</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Vercel (auto-deploy from GitHub)</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CI/CD, edge functions, serverless</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2.2 Data Flow</w:t>
      </w:r>
    </w:p>
    <w:p>
      <w:pPr>
        <w:spacing w:after="160" w:line="276"/>
      </w:pPr>
      <w:r>
        <w:rPr>
          <w:rFonts w:ascii="Arial" w:cs="Arial" w:eastAsia="Arial" w:hAnsi="Arial"/>
          <w:sz w:val="22"/>
          <w:szCs w:val="22"/>
        </w:rPr>
        <w:t xml:space="preserve">The system processes orders through a multi-stage pipeline. Orders are ingested via CSV upload or API, normalized and enriched with historical context, scored by all five layers, and surfaced as fraud cases in the analyst dashboard.</w:t>
      </w:r>
    </w:p>
    <w:p>
      <w:pPr>
        <w:pStyle w:val="ListParagraph"/>
        <w:numPr>
          <w:ilvl w:val="0"/>
          <w:numId w:val="3"/>
        </w:numPr>
        <w:spacing w:after="80"/>
      </w:pPr>
      <w:r>
        <w:rPr>
          <w:rFonts w:ascii="Arial" w:cs="Arial" w:eastAsia="Arial" w:hAnsi="Arial"/>
          <w:b/>
          <w:bCs/>
          <w:sz w:val="22"/>
          <w:szCs w:val="22"/>
        </w:rPr>
        <w:t xml:space="preserve">Ingestion: </w:t>
      </w:r>
      <w:r>
        <w:rPr>
          <w:rFonts w:ascii="Arial" w:cs="Arial" w:eastAsia="Arial" w:hAnsi="Arial"/>
          <w:sz w:val="22"/>
          <w:szCs w:val="22"/>
        </w:rPr>
        <w:t xml:space="preserve">Raw orders arrive via CSV upload or the /api/v1/score endpoint. Each order contains customer name, address, phone/email/SSN hashes, agent ID, channel, and order type (connect, disconnect, or transfer).</w:t>
      </w:r>
    </w:p>
    <w:p>
      <w:pPr>
        <w:pStyle w:val="ListParagraph"/>
        <w:numPr>
          <w:ilvl w:val="0"/>
          <w:numId w:val="3"/>
        </w:numPr>
        <w:spacing w:after="80"/>
      </w:pPr>
      <w:r>
        <w:rPr>
          <w:rFonts w:ascii="Arial" w:cs="Arial" w:eastAsia="Arial" w:hAnsi="Arial"/>
          <w:b/>
          <w:bCs/>
          <w:sz w:val="22"/>
          <w:szCs w:val="22"/>
        </w:rPr>
        <w:t xml:space="preserve">Normalization: </w:t>
      </w:r>
      <w:r>
        <w:rPr>
          <w:rFonts w:ascii="Arial" w:cs="Arial" w:eastAsia="Arial" w:hAnsi="Arial"/>
          <w:sz w:val="22"/>
          <w:szCs w:val="22"/>
        </w:rPr>
        <w:t xml:space="preserve">Addresses are normalized by expanding abbreviations (St to Street, Ave to Avenue), removing apartment/suite/unit suffixes, and lowercasing. Names are similarly normalized.</w:t>
      </w:r>
    </w:p>
    <w:p>
      <w:pPr>
        <w:pStyle w:val="ListParagraph"/>
        <w:numPr>
          <w:ilvl w:val="0"/>
          <w:numId w:val="3"/>
        </w:numPr>
        <w:spacing w:after="80"/>
      </w:pPr>
      <w:r>
        <w:rPr>
          <w:rFonts w:ascii="Arial" w:cs="Arial" w:eastAsia="Arial" w:hAnsi="Arial"/>
          <w:b/>
          <w:bCs/>
          <w:sz w:val="22"/>
          <w:szCs w:val="22"/>
        </w:rPr>
        <w:t xml:space="preserve">Disconnect Enrichment: </w:t>
      </w:r>
      <w:r>
        <w:rPr>
          <w:rFonts w:ascii="Arial" w:cs="Arial" w:eastAsia="Arial" w:hAnsi="Arial"/>
          <w:sz w:val="22"/>
          <w:szCs w:val="22"/>
        </w:rPr>
        <w:t xml:space="preserve">For every connect order, the system searches all disconnect orders for matching normalized addresses and computes daysSinceDisconnect. This is the foundation of most fraud signals.</w:t>
      </w:r>
    </w:p>
    <w:p>
      <w:pPr>
        <w:pStyle w:val="ListParagraph"/>
        <w:numPr>
          <w:ilvl w:val="0"/>
          <w:numId w:val="3"/>
        </w:numPr>
        <w:spacing w:after="80"/>
      </w:pPr>
      <w:r>
        <w:rPr>
          <w:rFonts w:ascii="Arial" w:cs="Arial" w:eastAsia="Arial" w:hAnsi="Arial"/>
          <w:b/>
          <w:bCs/>
          <w:sz w:val="22"/>
          <w:szCs w:val="22"/>
        </w:rPr>
        <w:t xml:space="preserve">Multi-Layer Scoring: </w:t>
      </w:r>
      <w:r>
        <w:rPr>
          <w:rFonts w:ascii="Arial" w:cs="Arial" w:eastAsia="Arial" w:hAnsi="Arial"/>
          <w:sz w:val="22"/>
          <w:szCs w:val="22"/>
        </w:rPr>
        <w:t xml:space="preserve">The order is scored by the rule engine, embedding similarity, Isolation Forest, gradient boost (if trained), and graph network analysis. Results are blended into a composite score.</w:t>
      </w:r>
    </w:p>
    <w:p>
      <w:pPr>
        <w:pStyle w:val="ListParagraph"/>
        <w:numPr>
          <w:ilvl w:val="0"/>
          <w:numId w:val="3"/>
        </w:numPr>
        <w:spacing w:after="80"/>
      </w:pPr>
      <w:r>
        <w:rPr>
          <w:rFonts w:ascii="Arial" w:cs="Arial" w:eastAsia="Arial" w:hAnsi="Arial"/>
          <w:b/>
          <w:bCs/>
          <w:sz w:val="22"/>
          <w:szCs w:val="22"/>
        </w:rPr>
        <w:t xml:space="preserve">Case Creation: </w:t>
      </w:r>
      <w:r>
        <w:rPr>
          <w:rFonts w:ascii="Arial" w:cs="Arial" w:eastAsia="Arial" w:hAnsi="Arial"/>
          <w:sz w:val="22"/>
          <w:szCs w:val="22"/>
        </w:rPr>
        <w:t xml:space="preserve">A fraud case is created with the composite risk score, risk band (Low/Medium/High/Critical), all evidence items, and an SLA timer based on severity.</w:t>
      </w:r>
    </w:p>
    <w:p>
      <w:pPr>
        <w:pStyle w:val="ListParagraph"/>
        <w:numPr>
          <w:ilvl w:val="0"/>
          <w:numId w:val="3"/>
        </w:numPr>
        <w:spacing w:after="200"/>
      </w:pPr>
      <w:r>
        <w:rPr>
          <w:rFonts w:ascii="Arial" w:cs="Arial" w:eastAsia="Arial" w:hAnsi="Arial"/>
          <w:b/>
          <w:bCs/>
          <w:sz w:val="22"/>
          <w:szCs w:val="22"/>
        </w:rPr>
        <w:t xml:space="preserve">Investigation: </w:t>
      </w:r>
      <w:r>
        <w:rPr>
          <w:rFonts w:ascii="Arial" w:cs="Arial" w:eastAsia="Arial" w:hAnsi="Arial"/>
          <w:sz w:val="22"/>
          <w:szCs w:val="22"/>
        </w:rPr>
        <w:t xml:space="preserve">Analysts review cases in the dashboard, use AI-powered summaries and chat, and resolve cases as confirmed fraud, false positive, or inconclusive. Resolutions feed back into the learning system.</w:t>
      </w:r>
    </w:p>
    <w:p>
      <w:r>
        <w:br w:type="page"/>
      </w:r>
    </w:p>
    <w:p>
      <w:pPr>
        <w:pStyle w:val="Heading1"/>
        <w:spacing w:after="200" w:before="360"/>
      </w:pPr>
      <w:r>
        <w:rPr>
          <w:rFonts w:ascii="Arial" w:cs="Arial" w:eastAsia="Arial" w:hAnsi="Arial"/>
          <w:b/>
          <w:bCs/>
          <w:color w:val="1B4F72"/>
          <w:sz w:val="32"/>
          <w:szCs w:val="32"/>
        </w:rPr>
        <w:t xml:space="preserve">3. Scoring Layers</w:t>
      </w:r>
    </w:p>
    <w:p>
      <w:pPr>
        <w:spacing w:after="160" w:line="276"/>
      </w:pPr>
      <w:r>
        <w:rPr>
          <w:rFonts w:ascii="Arial" w:cs="Arial" w:eastAsia="Arial" w:hAnsi="Arial"/>
          <w:sz w:val="22"/>
          <w:szCs w:val="22"/>
        </w:rPr>
        <w:t xml:space="preserve">FraudShield uses five independent scoring layers, each analyzing orders from a different mathematical perspective. The composite scorer blends all layer outputs into a single 0-100 risk score.</w:t>
      </w:r>
    </w:p>
    <w:p>
      <w:pPr>
        <w:pStyle w:val="Heading2"/>
        <w:spacing w:after="160" w:before="280"/>
      </w:pPr>
      <w:r>
        <w:rPr>
          <w:rFonts w:ascii="Arial" w:cs="Arial" w:eastAsia="Arial" w:hAnsi="Arial"/>
          <w:b/>
          <w:bCs/>
          <w:color w:val="2C3E50"/>
          <w:sz w:val="28"/>
          <w:szCs w:val="28"/>
        </w:rPr>
        <w:t xml:space="preserve">3.1 Layer 1: Rule Engine</w:t>
      </w:r>
    </w:p>
    <w:p>
      <w:pPr>
        <w:spacing w:after="160" w:line="276"/>
      </w:pPr>
      <w:r>
        <w:rPr>
          <w:rFonts w:ascii="Arial" w:cs="Arial" w:eastAsia="Arial" w:hAnsi="Arial"/>
          <w:sz w:val="22"/>
          <w:szCs w:val="22"/>
        </w:rPr>
        <w:t xml:space="preserve">The rule engine is a deterministic pattern-matching system that applies weighted rules based on known telecom fraud patterns. Each rule checks for a specific signal and adds points to the risk score.</w:t>
      </w:r>
    </w:p>
    <w:p>
      <w:pPr>
        <w:pStyle w:val="Heading3"/>
        <w:spacing w:after="120" w:before="200"/>
      </w:pPr>
      <w:r>
        <w:rPr>
          <w:rFonts w:ascii="Arial" w:cs="Arial" w:eastAsia="Arial" w:hAnsi="Arial"/>
          <w:b/>
          <w:bCs/>
          <w:color w:val="2E86C1"/>
          <w:sz w:val="24"/>
          <w:szCs w:val="24"/>
        </w:rPr>
        <w:t xml:space="preserve">Core Fraud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Quick Reconnect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Connect order at an address that had a disconnect within 30 days. The closer to the disconnect date, the higher the score (up to +35 points).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Name Mismatch</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Different customer name on a connect order at an address with a recent disconnect. Strong indicator of slamming fraud (+25 points).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Delinquent Balance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Prior disconnect at the address had an unpaid balance. Higher balances increase the score (up to +20 points).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Channel Risk</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Third-party door-to-door and telemarketing channels carry inherently higher fraud rates (+10-15 points).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Agent Cluster</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Agent has disproportionate volume of high-risk orders relative to peers. Flags rogue agents (+10-20 points).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Promo Abuse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Promotional code usage on reconnect orders, particularly at addresses with prior delinquency (+5-10 points).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Identity Signal Reuse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Same phone hash, email hash, SSN hash, or payment method appearing on both a disconnect and a new connect order at a different name (+15-25 points).</w:t>
            </w:r>
          </w:p>
        </w:tc>
      </w:tr>
    </w:tbl>
    <w:p>
      <w:pPr>
        <w:spacing w:after="160" w:line="276"/>
      </w:pPr>
      <w:r>
        <w:rPr>
          <w:rFonts w:ascii="Arial" w:cs="Arial" w:eastAsia="Arial" w:hAnsi="Arial"/>
          <w:sz w:val="22"/>
          <w:szCs w:val="22"/>
        </w:rPr>
        <w:t xml:space="preserve"/>
      </w:r>
    </w:p>
    <w:p>
      <w:pPr>
        <w:shd w:fill="EBF5FB" w:val="clear"/>
        <w:spacing w:after="200" w:before="120"/>
        <w:ind w:left="360" w:right="360"/>
      </w:pPr>
      <w:r>
        <w:rPr>
          <w:rFonts w:ascii="Arial" w:cs="Arial" w:eastAsia="Arial" w:hAnsi="Arial"/>
          <w:i/>
          <w:iCs/>
          <w:color w:val="2C3E50"/>
          <w:sz w:val="22"/>
          <w:szCs w:val="22"/>
        </w:rPr>
        <w:t xml:space="preserve">The rule engine is the only layer that runs from day one without any historical data. It provides the baseline scoring that ML layers enhance.</w:t>
      </w:r>
    </w:p>
    <w:p>
      <w:r>
        <w:br w:type="page"/>
      </w:r>
    </w:p>
    <w:p>
      <w:pPr>
        <w:pStyle w:val="Heading2"/>
        <w:spacing w:after="160" w:before="280"/>
      </w:pPr>
      <w:r>
        <w:rPr>
          <w:rFonts w:ascii="Arial" w:cs="Arial" w:eastAsia="Arial" w:hAnsi="Arial"/>
          <w:b/>
          <w:bCs/>
          <w:color w:val="2C3E50"/>
          <w:sz w:val="28"/>
          <w:szCs w:val="28"/>
        </w:rPr>
        <w:t xml:space="preserve">3.2 Layer 2: Encoder Embedding Similarity</w:t>
      </w:r>
    </w:p>
    <w:p>
      <w:pPr>
        <w:spacing w:after="160" w:line="276"/>
      </w:pPr>
      <w:r>
        <w:rPr>
          <w:rFonts w:ascii="Arial" w:cs="Arial" w:eastAsia="Arial" w:hAnsi="Arial"/>
          <w:sz w:val="22"/>
          <w:szCs w:val="22"/>
        </w:rPr>
        <w:t xml:space="preserve">This layer uses character n-gram vectorization to detect address and name spoofing that exact-match rules would miss. It converts addresses and names into high-dimensional vectors and measures cosine similarity between them.</w:t>
      </w:r>
    </w:p>
    <w:p>
      <w:pPr>
        <w:pStyle w:val="Heading3"/>
        <w:spacing w:after="120" w:before="200"/>
      </w:pPr>
      <w:r>
        <w:rPr>
          <w:rFonts w:ascii="Arial" w:cs="Arial" w:eastAsia="Arial" w:hAnsi="Arial"/>
          <w:b/>
          <w:bCs/>
          <w:color w:val="2E86C1"/>
          <w:sz w:val="24"/>
          <w:szCs w:val="24"/>
        </w:rPr>
        <w:t xml:space="preserve">How It Works</w:t>
      </w:r>
    </w:p>
    <w:p>
      <w:pPr>
        <w:pStyle w:val="ListParagraph"/>
        <w:numPr>
          <w:ilvl w:val="0"/>
          <w:numId w:val="4"/>
        </w:numPr>
        <w:spacing w:after="80"/>
      </w:pPr>
      <w:r>
        <w:rPr>
          <w:rFonts w:ascii="Arial" w:cs="Arial" w:eastAsia="Arial" w:hAnsi="Arial"/>
          <w:b/>
          <w:bCs/>
          <w:sz w:val="22"/>
          <w:szCs w:val="22"/>
        </w:rPr>
        <w:t xml:space="preserve">Abbreviation Expansion: </w:t>
      </w:r>
      <w:r>
        <w:rPr>
          <w:rFonts w:ascii="Arial" w:cs="Arial" w:eastAsia="Arial" w:hAnsi="Arial"/>
          <w:sz w:val="22"/>
          <w:szCs w:val="22"/>
        </w:rPr>
        <w:t xml:space="preserve">Addresses are preprocessed to expand common abbreviations (St to Street, Ave to Avenue, Blvd to Boulevard, Dr to Drive, Ln to Lane, Ct to Court, Rd to Road, etc.) so that "123 Oak St" and "123 Oak Street" produce identical vectors.</w:t>
      </w:r>
    </w:p>
    <w:p>
      <w:pPr>
        <w:pStyle w:val="ListParagraph"/>
        <w:numPr>
          <w:ilvl w:val="0"/>
          <w:numId w:val="4"/>
        </w:numPr>
        <w:spacing w:after="80"/>
      </w:pPr>
      <w:r>
        <w:rPr>
          <w:rFonts w:ascii="Arial" w:cs="Arial" w:eastAsia="Arial" w:hAnsi="Arial"/>
          <w:b/>
          <w:bCs/>
          <w:sz w:val="22"/>
          <w:szCs w:val="22"/>
        </w:rPr>
        <w:t xml:space="preserve">Character Trigram Extraction: </w:t>
      </w:r>
      <w:r>
        <w:rPr>
          <w:rFonts w:ascii="Arial" w:cs="Arial" w:eastAsia="Arial" w:hAnsi="Arial"/>
          <w:sz w:val="22"/>
          <w:szCs w:val="22"/>
        </w:rPr>
        <w:t xml:space="preserve">The normalized string is broken into overlapping 3-character sequences. For example, "123 oak street" produces trigrams: "123", "23 ", "3 o", " oa", "oak", "ak ", and so on.</w:t>
      </w:r>
    </w:p>
    <w:p>
      <w:pPr>
        <w:pStyle w:val="ListParagraph"/>
        <w:numPr>
          <w:ilvl w:val="0"/>
          <w:numId w:val="4"/>
        </w:numPr>
        <w:spacing w:after="80"/>
      </w:pPr>
      <w:r>
        <w:rPr>
          <w:rFonts w:ascii="Arial" w:cs="Arial" w:eastAsia="Arial" w:hAnsi="Arial"/>
          <w:b/>
          <w:bCs/>
          <w:sz w:val="22"/>
          <w:szCs w:val="22"/>
        </w:rPr>
        <w:t xml:space="preserve">Vector Construction: </w:t>
      </w:r>
      <w:r>
        <w:rPr>
          <w:rFonts w:ascii="Arial" w:cs="Arial" w:eastAsia="Arial" w:hAnsi="Arial"/>
          <w:sz w:val="22"/>
          <w:szCs w:val="22"/>
        </w:rPr>
        <w:t xml:space="preserve">Each unique trigram becomes a dimension in the vector space. The frequency of each trigram is the value in that dimension.</w:t>
      </w:r>
    </w:p>
    <w:p>
      <w:pPr>
        <w:pStyle w:val="ListParagraph"/>
        <w:numPr>
          <w:ilvl w:val="0"/>
          <w:numId w:val="4"/>
        </w:numPr>
        <w:spacing w:after="80"/>
      </w:pPr>
      <w:r>
        <w:rPr>
          <w:rFonts w:ascii="Arial" w:cs="Arial" w:eastAsia="Arial" w:hAnsi="Arial"/>
          <w:b/>
          <w:bCs/>
          <w:sz w:val="22"/>
          <w:szCs w:val="22"/>
        </w:rPr>
        <w:t xml:space="preserve">Cosine Similarity: </w:t>
      </w:r>
      <w:r>
        <w:rPr>
          <w:rFonts w:ascii="Arial" w:cs="Arial" w:eastAsia="Arial" w:hAnsi="Arial"/>
          <w:sz w:val="22"/>
          <w:szCs w:val="22"/>
        </w:rPr>
        <w:t xml:space="preserve">The dot product of two vectors divided by the product of their magnitudes gives a similarity score between 0 and 1. Addresses that are slight variations of each other (transposed digits, misspelled street names) will have high similarity.</w:t>
      </w:r>
    </w:p>
    <w:p>
      <w:pPr>
        <w:pStyle w:val="ListParagraph"/>
        <w:numPr>
          <w:ilvl w:val="0"/>
          <w:numId w:val="4"/>
        </w:numPr>
        <w:spacing w:after="200"/>
      </w:pPr>
      <w:r>
        <w:rPr>
          <w:rFonts w:ascii="Arial" w:cs="Arial" w:eastAsia="Arial" w:hAnsi="Arial"/>
          <w:b/>
          <w:bCs/>
          <w:sz w:val="22"/>
          <w:szCs w:val="22"/>
        </w:rPr>
        <w:t xml:space="preserve">Disconnect Weighting: </w:t>
      </w:r>
      <w:r>
        <w:rPr>
          <w:rFonts w:ascii="Arial" w:cs="Arial" w:eastAsia="Arial" w:hAnsi="Arial"/>
          <w:sz w:val="22"/>
          <w:szCs w:val="22"/>
        </w:rPr>
        <w:t xml:space="preserve">Matches against addresses that have a disconnect record are weighted heavily (up to 60 points) because this is the primary fraud pattern.</w:t>
      </w:r>
    </w:p>
    <w:p>
      <w:pPr>
        <w:pStyle w:val="Heading3"/>
        <w:spacing w:after="120" w:before="200"/>
      </w:pPr>
      <w:r>
        <w:rPr>
          <w:rFonts w:ascii="Arial" w:cs="Arial" w:eastAsia="Arial" w:hAnsi="Arial"/>
          <w:b/>
          <w:bCs/>
          <w:color w:val="2E86C1"/>
          <w:sz w:val="24"/>
          <w:szCs w:val="24"/>
        </w:rPr>
        <w:t xml:space="preserve">What It Catches</w:t>
      </w:r>
    </w:p>
    <w:p>
      <w:pPr>
        <w:spacing w:after="160" w:line="276"/>
      </w:pPr>
      <w:r>
        <w:rPr>
          <w:rFonts w:ascii="Arial" w:cs="Arial" w:eastAsia="Arial" w:hAnsi="Arial"/>
          <w:sz w:val="22"/>
          <w:szCs w:val="22"/>
        </w:rPr>
        <w:t xml:space="preserve">This layer detects subtle address spoofing such as "452 Oak Street" vs "452 Oak St Apt B", transposed house numbers like "4521" vs "4512", and slight name variations like "Robert Martinez" vs "Roberto Martinez". These are common tactics used to evade exact-match detection.</w:t>
      </w:r>
    </w:p>
    <w:p>
      <w:r>
        <w:br w:type="page"/>
      </w:r>
    </w:p>
    <w:p>
      <w:pPr>
        <w:pStyle w:val="Heading2"/>
        <w:spacing w:after="160" w:before="280"/>
      </w:pPr>
      <w:r>
        <w:rPr>
          <w:rFonts w:ascii="Arial" w:cs="Arial" w:eastAsia="Arial" w:hAnsi="Arial"/>
          <w:b/>
          <w:bCs/>
          <w:color w:val="2C3E50"/>
          <w:sz w:val="28"/>
          <w:szCs w:val="28"/>
        </w:rPr>
        <w:t xml:space="preserve">3.3 Layer 3: Isolation Forest (Anomaly Detection)</w:t>
      </w:r>
    </w:p>
    <w:p>
      <w:pPr>
        <w:spacing w:after="160" w:line="276"/>
      </w:pPr>
      <w:r>
        <w:rPr>
          <w:rFonts w:ascii="Arial" w:cs="Arial" w:eastAsia="Arial" w:hAnsi="Arial"/>
          <w:sz w:val="22"/>
          <w:szCs w:val="22"/>
        </w:rPr>
        <w:t xml:space="preserve">The Isolation Forest is an unsupervised machine learning algorithm that detects statistical outliers without needing labeled training data. It works on the principle that anomalous data points are easier to isolate than normal ones.</w:t>
      </w:r>
    </w:p>
    <w:p>
      <w:pPr>
        <w:pStyle w:val="Heading3"/>
        <w:spacing w:after="120" w:before="200"/>
      </w:pPr>
      <w:r>
        <w:rPr>
          <w:rFonts w:ascii="Arial" w:cs="Arial" w:eastAsia="Arial" w:hAnsi="Arial"/>
          <w:b/>
          <w:bCs/>
          <w:color w:val="2E86C1"/>
          <w:sz w:val="24"/>
          <w:szCs w:val="24"/>
        </w:rPr>
        <w:t xml:space="preserve">Algorithm</w:t>
      </w:r>
    </w:p>
    <w:p>
      <w:pPr>
        <w:spacing w:after="160" w:line="276"/>
      </w:pPr>
      <w:r>
        <w:rPr>
          <w:rFonts w:ascii="Arial" w:cs="Arial" w:eastAsia="Arial" w:hAnsi="Arial"/>
          <w:sz w:val="22"/>
          <w:szCs w:val="22"/>
        </w:rPr>
        <w:t xml:space="preserve">The algorithm builds an ensemble of random binary trees (an "isolation forest"). Each tree randomly selects a feature and a split value, partitioning the data recursively. Normal data points require many splits to isolate because they cluster together. Anomalous points sit in sparse regions of the feature space and get isolated in very few splits.</w:t>
      </w:r>
    </w:p>
    <w:p>
      <w:pPr>
        <w:spacing w:after="160" w:line="276"/>
      </w:pPr>
      <w:r>
        <w:rPr>
          <w:rFonts w:ascii="Arial" w:cs="Arial" w:eastAsia="Arial" w:hAnsi="Arial"/>
          <w:sz w:val="22"/>
          <w:szCs w:val="22"/>
        </w:rPr>
        <w:t xml:space="preserve">The anomaly score for a data point is calculated as s = 2^(-avgPathLength / c(n)), where avgPathLength is the mean number of splits needed to isolate the point across all trees, and c(n) is a normalization factor. Scores near 1.0 indicate strong anomalies; scores near 0.5 are normal.</w:t>
      </w:r>
    </w:p>
    <w:p>
      <w:pPr>
        <w:pStyle w:val="Heading3"/>
        <w:spacing w:after="120" w:before="200"/>
      </w:pPr>
      <w:r>
        <w:rPr>
          <w:rFonts w:ascii="Arial" w:cs="Arial" w:eastAsia="Arial" w:hAnsi="Arial"/>
          <w:b/>
          <w:bCs/>
          <w:color w:val="2E86C1"/>
          <w:sz w:val="24"/>
          <w:szCs w:val="24"/>
        </w:rPr>
        <w:t xml:space="preserve">Feature Vector</w:t>
      </w:r>
    </w:p>
    <w:p>
      <w:pPr>
        <w:spacing w:after="160" w:line="276"/>
      </w:pPr>
      <w:r>
        <w:rPr>
          <w:rFonts w:ascii="Arial" w:cs="Arial" w:eastAsia="Arial" w:hAnsi="Arial"/>
          <w:sz w:val="22"/>
          <w:szCs w:val="22"/>
        </w:rPr>
        <w:t xml:space="preserve">Each order is represented as a 10-dimensional feature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What It Measures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Shared Phone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How many other orders share this phone hash</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Shared Email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How many other orders share this email hash</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Shared SSN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How many other orders share this SSN hash</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Shared Payment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How many other orders share this payment method hash</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Shared Address Count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How many orders at the same normalized address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Agent Order Velocity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Orders submitted by this agent in the same period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Channel Risk Score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Numeric encoding of channel fraud propensity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Days Since Disconnect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Days between disconnect at address and this connect order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Delinquent Balance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Outstanding balance from prior disconnect at address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Promo Usage Flag</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Whether a promotional code was used on this order</w:t>
            </w:r>
          </w:p>
        </w:tc>
      </w:tr>
    </w:tbl>
    <w:p>
      <w:pPr>
        <w:spacing w:after="160" w:line="276"/>
      </w:pPr>
      <w:r>
        <w:rPr>
          <w:rFonts w:ascii="Arial" w:cs="Arial" w:eastAsia="Arial" w:hAnsi="Arial"/>
          <w:sz w:val="22"/>
          <w:szCs w:val="22"/>
        </w:rPr>
        <w:t xml:space="preserve"/>
      </w:r>
    </w:p>
    <w:p>
      <w:pPr>
        <w:shd w:fill="EBF5FB" w:val="clear"/>
        <w:spacing w:after="200" w:before="120"/>
        <w:ind w:left="360" w:right="360"/>
      </w:pPr>
      <w:r>
        <w:rPr>
          <w:rFonts w:ascii="Arial" w:cs="Arial" w:eastAsia="Arial" w:hAnsi="Arial"/>
          <w:i/>
          <w:iCs/>
          <w:color w:val="2C3E50"/>
          <w:sz w:val="22"/>
          <w:szCs w:val="22"/>
        </w:rPr>
        <w:t xml:space="preserve">The Isolation Forest runs from day one with zero training data. It uses a seeded pseudo-random number generator for reproducibility, meaning the same input data always produces the same anomaly scores.</w:t>
      </w:r>
    </w:p>
    <w:p>
      <w:r>
        <w:br w:type="page"/>
      </w:r>
    </w:p>
    <w:p>
      <w:pPr>
        <w:pStyle w:val="Heading2"/>
        <w:spacing w:after="160" w:before="280"/>
      </w:pPr>
      <w:r>
        <w:rPr>
          <w:rFonts w:ascii="Arial" w:cs="Arial" w:eastAsia="Arial" w:hAnsi="Arial"/>
          <w:b/>
          <w:bCs/>
          <w:color w:val="2C3E50"/>
          <w:sz w:val="28"/>
          <w:szCs w:val="28"/>
        </w:rPr>
        <w:t xml:space="preserve">3.4 Layer 4: Gradient Boosted Classifier (Predictive Model)</w:t>
      </w:r>
    </w:p>
    <w:p>
      <w:pPr>
        <w:spacing w:after="160" w:line="276"/>
      </w:pPr>
      <w:r>
        <w:rPr>
          <w:rFonts w:ascii="Arial" w:cs="Arial" w:eastAsia="Arial" w:hAnsi="Arial"/>
          <w:sz w:val="22"/>
          <w:szCs w:val="22"/>
        </w:rPr>
        <w:t xml:space="preserve">The Gradient Boosted Decision Tree (GBDT) is a supervised machine learning model that learns to predict fraud probability from resolved case outcomes. Unlike the Isolation Forest which detects general anomalies, the GBDT learns the specific patterns that distinguish confirmed fraud from false positives in your data.</w:t>
      </w:r>
    </w:p>
    <w:p>
      <w:pPr>
        <w:pStyle w:val="Heading3"/>
        <w:spacing w:after="120" w:before="200"/>
      </w:pPr>
      <w:r>
        <w:rPr>
          <w:rFonts w:ascii="Arial" w:cs="Arial" w:eastAsia="Arial" w:hAnsi="Arial"/>
          <w:b/>
          <w:bCs/>
          <w:color w:val="2E86C1"/>
          <w:sz w:val="24"/>
          <w:szCs w:val="24"/>
        </w:rPr>
        <w:t xml:space="preserve">Training Requirements</w:t>
      </w:r>
    </w:p>
    <w:p>
      <w:pPr>
        <w:spacing w:after="160" w:line="276"/>
      </w:pPr>
      <w:r>
        <w:rPr>
          <w:rFonts w:ascii="Arial" w:cs="Arial" w:eastAsia="Arial" w:hAnsi="Arial"/>
          <w:sz w:val="22"/>
          <w:szCs w:val="22"/>
        </w:rPr>
        <w:t xml:space="preserve">The GBDT requires resolved cases with explicit outcomes (confirmed_fraud or false_positive) to train. Until sufficient resolved cases exist, this layer reports "Not yet trained" and its weight is redistributed to the other layers. Once enough cases are resolved (minimum threshold of labeled examples), the model trains automatically.</w:t>
      </w:r>
    </w:p>
    <w:p>
      <w:pPr>
        <w:pStyle w:val="Heading3"/>
        <w:spacing w:after="120" w:before="200"/>
      </w:pPr>
      <w:r>
        <w:rPr>
          <w:rFonts w:ascii="Arial" w:cs="Arial" w:eastAsia="Arial" w:hAnsi="Arial"/>
          <w:b/>
          <w:bCs/>
          <w:color w:val="2E86C1"/>
          <w:sz w:val="24"/>
          <w:szCs w:val="24"/>
        </w:rPr>
        <w:t xml:space="preserve">How Gradient Boosting Works</w:t>
      </w:r>
    </w:p>
    <w:p>
      <w:pPr>
        <w:spacing w:after="160" w:line="276"/>
      </w:pPr>
      <w:r>
        <w:rPr>
          <w:rFonts w:ascii="Arial" w:cs="Arial" w:eastAsia="Arial" w:hAnsi="Arial"/>
          <w:sz w:val="22"/>
          <w:szCs w:val="22"/>
        </w:rPr>
        <w:t xml:space="preserve">The algorithm trains a sequence of shallow decision trees, where each tree corrects the errors of the previous ensemble. It minimizes log-loss (cross-entropy) by computing residuals between predicted probabilities and actual labels, then fitting a new tree to those residuals. The final prediction is the sum of all trees, passed through a sigmoid function to produce a probability between 0 and 1.</w:t>
      </w:r>
    </w:p>
    <w:p>
      <w:pPr>
        <w:pStyle w:val="Heading3"/>
        <w:spacing w:after="120" w:before="200"/>
      </w:pPr>
      <w:r>
        <w:rPr>
          <w:rFonts w:ascii="Arial" w:cs="Arial" w:eastAsia="Arial" w:hAnsi="Arial"/>
          <w:b/>
          <w:bCs/>
          <w:color w:val="2E86C1"/>
          <w:sz w:val="24"/>
          <w:szCs w:val="24"/>
        </w:rPr>
        <w:t xml:space="preserve">SageMaker Migration Path</w:t>
      </w:r>
    </w:p>
    <w:p>
      <w:pPr>
        <w:spacing w:after="160" w:line="276"/>
      </w:pPr>
      <w:r>
        <w:rPr>
          <w:rFonts w:ascii="Arial" w:cs="Arial" w:eastAsia="Arial" w:hAnsi="Arial"/>
          <w:sz w:val="22"/>
          <w:szCs w:val="22"/>
        </w:rPr>
        <w:t xml:space="preserve">The current GBDT implementation runs entirely in TypeScript within the application process. The training data format and feature extraction are designed to be compatible with Amazon SageMaker, so when the system scales beyond what in-process training can handle, the model can be migrated to SageMaker with minimal code changes. The feature vector format, training data schema, and prediction interface are all designed with this migration in mind.</w:t>
      </w:r>
    </w:p>
    <w:p>
      <w:r>
        <w:br w:type="page"/>
      </w:r>
    </w:p>
    <w:p>
      <w:pPr>
        <w:pStyle w:val="Heading2"/>
        <w:spacing w:after="160" w:before="280"/>
      </w:pPr>
      <w:r>
        <w:rPr>
          <w:rFonts w:ascii="Arial" w:cs="Arial" w:eastAsia="Arial" w:hAnsi="Arial"/>
          <w:b/>
          <w:bCs/>
          <w:color w:val="2C3E50"/>
          <w:sz w:val="28"/>
          <w:szCs w:val="28"/>
        </w:rPr>
        <w:t xml:space="preserve">3.5 Layer 5: Graph Network Analysis (Fraud Ring Detection)</w:t>
      </w:r>
    </w:p>
    <w:p>
      <w:pPr>
        <w:spacing w:after="160" w:line="276"/>
      </w:pPr>
      <w:r>
        <w:rPr>
          <w:rFonts w:ascii="Arial" w:cs="Arial" w:eastAsia="Arial" w:hAnsi="Arial"/>
          <w:sz w:val="22"/>
          <w:szCs w:val="22"/>
        </w:rPr>
        <w:t xml:space="preserve">The graph analysis layer builds a bipartite graph connecting orders to shared signals, then uses connected component analysis to detect fraud rings that pairwise comparison would miss.</w:t>
      </w:r>
    </w:p>
    <w:p>
      <w:pPr>
        <w:pStyle w:val="Heading3"/>
        <w:spacing w:after="120" w:before="200"/>
      </w:pPr>
      <w:r>
        <w:rPr>
          <w:rFonts w:ascii="Arial" w:cs="Arial" w:eastAsia="Arial" w:hAnsi="Arial"/>
          <w:b/>
          <w:bCs/>
          <w:color w:val="2E86C1"/>
          <w:sz w:val="24"/>
          <w:szCs w:val="24"/>
        </w:rPr>
        <w:t xml:space="preserve">Graph Construction</w:t>
      </w:r>
    </w:p>
    <w:p>
      <w:pPr>
        <w:spacing w:after="160" w:line="276"/>
      </w:pPr>
      <w:r>
        <w:rPr>
          <w:rFonts w:ascii="Arial" w:cs="Arial" w:eastAsia="Arial" w:hAnsi="Arial"/>
          <w:sz w:val="22"/>
          <w:szCs w:val="22"/>
        </w:rPr>
        <w:t xml:space="preserve">The system creates two types of nodes: order nodes (one per order) and signal nodes (one per unique shared signal). Signal nodes represent shared phone hashes, email hashes, SSN hashes, payment method hashes, normalized addresses, and equipment IDs. An edge connects an order to every signal it possesses.</w:t>
      </w:r>
    </w:p>
    <w:p>
      <w:pPr>
        <w:pStyle w:val="Heading3"/>
        <w:spacing w:after="120" w:before="200"/>
      </w:pPr>
      <w:r>
        <w:rPr>
          <w:rFonts w:ascii="Arial" w:cs="Arial" w:eastAsia="Arial" w:hAnsi="Arial"/>
          <w:b/>
          <w:bCs/>
          <w:color w:val="2E86C1"/>
          <w:sz w:val="24"/>
          <w:szCs w:val="24"/>
        </w:rPr>
        <w:t xml:space="preserve">Fraud Ring Detection</w:t>
      </w:r>
    </w:p>
    <w:p>
      <w:pPr>
        <w:spacing w:after="160" w:line="276"/>
      </w:pPr>
      <w:r>
        <w:rPr>
          <w:rFonts w:ascii="Arial" w:cs="Arial" w:eastAsia="Arial" w:hAnsi="Arial"/>
          <w:sz w:val="22"/>
          <w:szCs w:val="22"/>
        </w:rPr>
        <w:t xml:space="preserve">Connected component analysis via breadth-first search identifies clusters of orders linked by shared signals. A cluster of 3 orders that share a phone hash, with 2 of those also sharing an address, forms a connected component. The system scores each component based on its size, density (ratio of actual edges to possible edges), and the nature of shared signals (identity signals like SSN weigh more than address signals).</w:t>
      </w:r>
    </w:p>
    <w:p>
      <w:pPr>
        <w:shd w:fill="EBF5FB" w:val="clear"/>
        <w:spacing w:after="200" w:before="120"/>
        <w:ind w:left="360" w:right="360"/>
      </w:pPr>
      <w:r>
        <w:rPr>
          <w:rFonts w:ascii="Arial" w:cs="Arial" w:eastAsia="Arial" w:hAnsi="Arial"/>
          <w:i/>
          <w:iCs/>
          <w:color w:val="2C3E50"/>
          <w:sz w:val="22"/>
          <w:szCs w:val="22"/>
        </w:rPr>
        <w:t xml:space="preserve">This layer catches coordinated fraud that other layers miss. For example, if Agent PDS-007 submits 5 orders that share 3 phone hashes across them, the graph layer detects this as a potential fraud ring even though no single pair of orders triggers all the rules.</w:t>
      </w:r>
    </w:p>
    <w:p>
      <w:r>
        <w:br w:type="page"/>
      </w:r>
    </w:p>
    <w:p>
      <w:pPr>
        <w:pStyle w:val="Heading1"/>
        <w:spacing w:after="200" w:before="360"/>
      </w:pPr>
      <w:r>
        <w:rPr>
          <w:rFonts w:ascii="Arial" w:cs="Arial" w:eastAsia="Arial" w:hAnsi="Arial"/>
          <w:b/>
          <w:bCs/>
          <w:color w:val="1B4F72"/>
          <w:sz w:val="32"/>
          <w:szCs w:val="32"/>
        </w:rPr>
        <w:t xml:space="preserve">4. Composite Scoring</w:t>
      </w:r>
    </w:p>
    <w:p>
      <w:pPr>
        <w:spacing w:after="160" w:line="276"/>
      </w:pPr>
      <w:r>
        <w:rPr>
          <w:rFonts w:ascii="Arial" w:cs="Arial" w:eastAsia="Arial" w:hAnsi="Arial"/>
          <w:sz w:val="22"/>
          <w:szCs w:val="22"/>
        </w:rPr>
        <w:t xml:space="preserve">The composite scorer blends all five layers into a single risk score using a weighted average. The weights are designed to balance deterministic rule-based signals with probabilistic ML signals.</w:t>
      </w:r>
    </w:p>
    <w:p>
      <w:pPr>
        <w:pStyle w:val="Heading2"/>
        <w:spacing w:after="160" w:before="280"/>
      </w:pPr>
      <w:r>
        <w:rPr>
          <w:rFonts w:ascii="Arial" w:cs="Arial" w:eastAsia="Arial" w:hAnsi="Arial"/>
          <w:b/>
          <w:bCs/>
          <w:color w:val="2C3E50"/>
          <w:sz w:val="28"/>
          <w:szCs w:val="28"/>
        </w:rPr>
        <w:t xml:space="preserve">4.1 Default Weight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With GBDT Trained</w:t>
            </w:r>
          </w:p>
        </w:tc>
        <w:tc>
          <w:tcPr>
            <w:tcW w:type="dxa" w:w="3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Without GBDT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Rule Engine</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30%</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35%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Embedding Similarity</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20%</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Isolation Forest</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15%</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20%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Gradient Boosted Classifier</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20%</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0% (redistributed)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Graph Network Analysis</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15%</w:t>
            </w:r>
          </w:p>
        </w:tc>
        <w:tc>
          <w:tcPr>
            <w:tcW w:type="dxa" w:w="35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20%</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When the GBDT has not been trained on resolved cases, its 20% weight is redistributed proportionally across the other four layers. This ensures the system produces meaningful scores from day one using only unsupervised methods, and gradually shifts toward supervised predictions as case resolutions accumulate.</w:t>
      </w:r>
    </w:p>
    <w:p>
      <w:pPr>
        <w:pStyle w:val="Heading2"/>
        <w:spacing w:after="160" w:before="280"/>
      </w:pPr>
      <w:r>
        <w:rPr>
          <w:rFonts w:ascii="Arial" w:cs="Arial" w:eastAsia="Arial" w:hAnsi="Arial"/>
          <w:b/>
          <w:bCs/>
          <w:color w:val="2C3E50"/>
          <w:sz w:val="28"/>
          <w:szCs w:val="28"/>
        </w:rPr>
        <w:t xml:space="preserve">4.2 Risk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Risk Band</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Score Range and Response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Critical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80-100: Immediate investigation required. 48-hour SLA. Assigned urgently.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High</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60-79: Priority review. 48-hour SLA. High priority queue.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35-59: Standard investigation. 7-day SLA. Normal priority.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Low</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0-34: Low concern. 7-day SLA. Low priority. May auto-dismiss.</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4.3 Explainability</w:t>
      </w:r>
    </w:p>
    <w:p>
      <w:pPr>
        <w:spacing w:after="160" w:line="276"/>
      </w:pPr>
      <w:r>
        <w:rPr>
          <w:rFonts w:ascii="Arial" w:cs="Arial" w:eastAsia="Arial" w:hAnsi="Arial"/>
          <w:sz w:val="22"/>
          <w:szCs w:val="22"/>
        </w:rPr>
        <w:t xml:space="preserve">Every composite score includes a full breakdown: the individual score from each layer, the weight applied, whether the layer was active, a human-readable explanation of what each layer detected, and a list of ML-generated evidence items. This transparency is critical for analyst trust and regulatory compliance. No score is a black box.</w:t>
      </w:r>
    </w:p>
    <w:p>
      <w:r>
        <w:br w:type="page"/>
      </w:r>
    </w:p>
    <w:p>
      <w:pPr>
        <w:pStyle w:val="Heading1"/>
        <w:spacing w:after="200" w:before="360"/>
      </w:pPr>
      <w:r>
        <w:rPr>
          <w:rFonts w:ascii="Arial" w:cs="Arial" w:eastAsia="Arial" w:hAnsi="Arial"/>
          <w:b/>
          <w:bCs/>
          <w:color w:val="1B4F72"/>
          <w:sz w:val="32"/>
          <w:szCs w:val="32"/>
        </w:rPr>
        <w:t xml:space="preserve">5. AI-Powered Features</w:t>
      </w:r>
    </w:p>
    <w:p>
      <w:pPr>
        <w:spacing w:after="160" w:line="276"/>
      </w:pPr>
      <w:r>
        <w:rPr>
          <w:rFonts w:ascii="Arial" w:cs="Arial" w:eastAsia="Arial" w:hAnsi="Arial"/>
          <w:sz w:val="22"/>
          <w:szCs w:val="22"/>
        </w:rPr>
        <w:t xml:space="preserve">FraudShield integrates with Anthropic Claude to provide intelligent investigation assistance. All AI features gracefully degrade when the API key is not configured, falling back to rule-based summaries.</w:t>
      </w:r>
    </w:p>
    <w:p>
      <w:pPr>
        <w:pStyle w:val="Heading2"/>
        <w:spacing w:after="160" w:before="280"/>
      </w:pPr>
      <w:r>
        <w:rPr>
          <w:rFonts w:ascii="Arial" w:cs="Arial" w:eastAsia="Arial" w:hAnsi="Arial"/>
          <w:b/>
          <w:bCs/>
          <w:color w:val="2C3E50"/>
          <w:sz w:val="28"/>
          <w:szCs w:val="28"/>
        </w:rPr>
        <w:t xml:space="preserve">5.1 Case Summaries</w:t>
      </w:r>
    </w:p>
    <w:p>
      <w:pPr>
        <w:spacing w:after="160" w:line="276"/>
      </w:pPr>
      <w:r>
        <w:rPr>
          <w:rFonts w:ascii="Arial" w:cs="Arial" w:eastAsia="Arial" w:hAnsi="Arial"/>
          <w:sz w:val="22"/>
          <w:szCs w:val="22"/>
        </w:rPr>
        <w:t xml:space="preserve">When an analyst opens a case, the system generates a comprehensive summary using Claude. The prompt includes the full order details, all evidence items from every scoring layer, the agent performance statistics (what percentage of this agent's orders are flagged), historical disconnect data at the address, and the composite score breakdown. Claude produces a narrative summary explaining why this case is flagged and what an analyst should investigate first.</w:t>
      </w:r>
    </w:p>
    <w:p>
      <w:pPr>
        <w:pStyle w:val="Heading2"/>
        <w:spacing w:after="160" w:before="280"/>
      </w:pPr>
      <w:r>
        <w:rPr>
          <w:rFonts w:ascii="Arial" w:cs="Arial" w:eastAsia="Arial" w:hAnsi="Arial"/>
          <w:b/>
          <w:bCs/>
          <w:color w:val="2C3E50"/>
          <w:sz w:val="28"/>
          <w:szCs w:val="28"/>
        </w:rPr>
        <w:t xml:space="preserve">5.2 Analyst Chat</w:t>
      </w:r>
    </w:p>
    <w:p>
      <w:pPr>
        <w:spacing w:after="160" w:line="276"/>
      </w:pPr>
      <w:r>
        <w:rPr>
          <w:rFonts w:ascii="Arial" w:cs="Arial" w:eastAsia="Arial" w:hAnsi="Arial"/>
          <w:sz w:val="22"/>
          <w:szCs w:val="22"/>
        </w:rPr>
        <w:t xml:space="preserve">Each case detail page includes a conversational AI interface where analysts can ask follow-up questions about the case. The chat maintains conversation history and injects the full case context into the first message. Analysts can ask questions like "What other orders has this agent submitted?" or "How does this address compare to the disconnect pattern?" and receive contextual answers grounded in the actual case data.</w:t>
      </w:r>
    </w:p>
    <w:p>
      <w:pPr>
        <w:pStyle w:val="Heading2"/>
        <w:spacing w:after="160" w:before="280"/>
      </w:pPr>
      <w:r>
        <w:rPr>
          <w:rFonts w:ascii="Arial" w:cs="Arial" w:eastAsia="Arial" w:hAnsi="Arial"/>
          <w:b/>
          <w:bCs/>
          <w:color w:val="2C3E50"/>
          <w:sz w:val="28"/>
          <w:szCs w:val="28"/>
        </w:rPr>
        <w:t xml:space="preserve">5.3 Feedback Learning System</w:t>
      </w:r>
    </w:p>
    <w:p>
      <w:pPr>
        <w:spacing w:after="160" w:line="276"/>
      </w:pPr>
      <w:r>
        <w:rPr>
          <w:rFonts w:ascii="Arial" w:cs="Arial" w:eastAsia="Arial" w:hAnsi="Arial"/>
          <w:sz w:val="22"/>
          <w:szCs w:val="22"/>
        </w:rPr>
        <w:t xml:space="preserve">The feedback system analyzes resolved case outcomes to identify patterns in scoring accuracy. It computes precision rates (what percentage of high-risk scores were confirmed fraud), average scores by resolution type, risk band accuracy (how well each band predicts outcomes), and false positive patterns. Based on this analysis, it recommends weight adjustments to improve future scoring accuracy.</w:t>
      </w:r>
    </w:p>
    <w:p>
      <w:pPr>
        <w:pStyle w:val="Heading2"/>
        <w:spacing w:after="160" w:before="280"/>
      </w:pPr>
      <w:r>
        <w:rPr>
          <w:rFonts w:ascii="Arial" w:cs="Arial" w:eastAsia="Arial" w:hAnsi="Arial"/>
          <w:b/>
          <w:bCs/>
          <w:color w:val="2C3E50"/>
          <w:sz w:val="28"/>
          <w:szCs w:val="28"/>
        </w:rPr>
        <w:t xml:space="preserve">5.4 Statistical Anomaly Detection</w:t>
      </w:r>
    </w:p>
    <w:p>
      <w:pPr>
        <w:spacing w:after="160" w:line="276"/>
      </w:pPr>
      <w:r>
        <w:rPr>
          <w:rFonts w:ascii="Arial" w:cs="Arial" w:eastAsia="Arial" w:hAnsi="Arial"/>
          <w:sz w:val="22"/>
          <w:szCs w:val="22"/>
        </w:rPr>
        <w:t xml:space="preserve">A z-score based anomaly detection layer runs independently to flag orders that are statistical outliers across key metrics. This supplements the Isolation Forest with a simpler, more interpretable anomaly signal that analysts can quickly understand.</w:t>
      </w:r>
    </w:p>
    <w:p>
      <w:r>
        <w:br w:type="page"/>
      </w:r>
    </w:p>
    <w:p>
      <w:pPr>
        <w:pStyle w:val="Heading1"/>
        <w:spacing w:after="200" w:before="360"/>
      </w:pPr>
      <w:r>
        <w:rPr>
          <w:rFonts w:ascii="Arial" w:cs="Arial" w:eastAsia="Arial" w:hAnsi="Arial"/>
          <w:b/>
          <w:bCs/>
          <w:color w:val="1B4F72"/>
          <w:sz w:val="32"/>
          <w:szCs w:val="32"/>
        </w:rPr>
        <w:t xml:space="preserve">6. Case Management Workflow</w:t>
      </w:r>
    </w:p>
    <w:p>
      <w:pPr>
        <w:spacing w:after="160" w:line="276"/>
      </w:pPr>
      <w:r>
        <w:rPr>
          <w:rFonts w:ascii="Arial" w:cs="Arial" w:eastAsia="Arial" w:hAnsi="Arial"/>
          <w:sz w:val="22"/>
          <w:szCs w:val="22"/>
        </w:rPr>
        <w:t xml:space="preserve">The analyst dashboard provides a complete case management system for investigating and resolving fraud cases.</w:t>
      </w:r>
    </w:p>
    <w:p>
      <w:pPr>
        <w:pStyle w:val="Heading2"/>
        <w:spacing w:after="160" w:before="280"/>
      </w:pPr>
      <w:r>
        <w:rPr>
          <w:rFonts w:ascii="Arial" w:cs="Arial" w:eastAsia="Arial" w:hAnsi="Arial"/>
          <w:b/>
          <w:bCs/>
          <w:color w:val="2C3E50"/>
          <w:sz w:val="28"/>
          <w:szCs w:val="28"/>
        </w:rPr>
        <w:t xml:space="preserve">6.1 Dashboard</w:t>
      </w:r>
    </w:p>
    <w:p>
      <w:pPr>
        <w:spacing w:after="160" w:line="276"/>
      </w:pPr>
      <w:r>
        <w:rPr>
          <w:rFonts w:ascii="Arial" w:cs="Arial" w:eastAsia="Arial" w:hAnsi="Arial"/>
          <w:sz w:val="22"/>
          <w:szCs w:val="22"/>
        </w:rPr>
        <w:t xml:space="preserve">The main dashboard displays all open cases with sortable columns for risk score, risk band, customer name, order date, agent ID, and SLA status. Cases are color-coded by risk band: red for Critical, orange for High, yellow for Medium, and green for Low. Real-time counters show the distribution across risk bands.</w:t>
      </w:r>
    </w:p>
    <w:p>
      <w:pPr>
        <w:pStyle w:val="Heading2"/>
        <w:spacing w:after="160" w:before="280"/>
      </w:pPr>
      <w:r>
        <w:rPr>
          <w:rFonts w:ascii="Arial" w:cs="Arial" w:eastAsia="Arial" w:hAnsi="Arial"/>
          <w:b/>
          <w:bCs/>
          <w:color w:val="2C3E50"/>
          <w:sz w:val="28"/>
          <w:szCs w:val="28"/>
        </w:rPr>
        <w:t xml:space="preserve">6.2 Case Detail View</w:t>
      </w:r>
    </w:p>
    <w:p>
      <w:pPr>
        <w:spacing w:after="160" w:line="276"/>
      </w:pPr>
      <w:r>
        <w:rPr>
          <w:rFonts w:ascii="Arial" w:cs="Arial" w:eastAsia="Arial" w:hAnsi="Arial"/>
          <w:sz w:val="22"/>
          <w:szCs w:val="22"/>
        </w:rPr>
        <w:t xml:space="preserve">Each case detail page includes the order information, all evidence items grouped by source, the ML scoring breakdown with per-layer score bars, the AI-generated summary, the analyst chat interface, anomaly alerts, and a full audit trail of actions taken on the case.</w:t>
      </w:r>
    </w:p>
    <w:p>
      <w:pPr>
        <w:pStyle w:val="Heading2"/>
        <w:spacing w:after="160" w:before="280"/>
      </w:pPr>
      <w:r>
        <w:rPr>
          <w:rFonts w:ascii="Arial" w:cs="Arial" w:eastAsia="Arial" w:hAnsi="Arial"/>
          <w:b/>
          <w:bCs/>
          <w:color w:val="2C3E50"/>
          <w:sz w:val="28"/>
          <w:szCs w:val="28"/>
        </w:rPr>
        <w:t xml:space="preserve">6.3 Resolution Workflow</w:t>
      </w:r>
    </w:p>
    <w:p>
      <w:pPr>
        <w:spacing w:after="160" w:line="276"/>
      </w:pPr>
      <w:r>
        <w:rPr>
          <w:rFonts w:ascii="Arial" w:cs="Arial" w:eastAsia="Arial" w:hAnsi="Arial"/>
          <w:sz w:val="22"/>
          <w:szCs w:val="22"/>
        </w:rPr>
        <w:t xml:space="preserve">Analysts resolve cases as one of three outcomes: confirmed fraud (the order is genuinely fraudulent), false positive (the order is legitimate despite the risk signals), or inconclusive (insufficient evidence to determine). Resolutions feed back into the GBDT training data and the feedback learning system.</w:t>
      </w:r>
    </w:p>
    <w:p>
      <w:pPr>
        <w:pStyle w:val="Heading2"/>
        <w:spacing w:after="160" w:before="280"/>
      </w:pPr>
      <w:r>
        <w:rPr>
          <w:rFonts w:ascii="Arial" w:cs="Arial" w:eastAsia="Arial" w:hAnsi="Arial"/>
          <w:b/>
          <w:bCs/>
          <w:color w:val="2C3E50"/>
          <w:sz w:val="28"/>
          <w:szCs w:val="28"/>
        </w:rPr>
        <w:t xml:space="preserve">6.4 Role-Based Access</w:t>
      </w:r>
    </w:p>
    <w:p>
      <w:pPr>
        <w:spacing w:after="160" w:line="276"/>
      </w:pPr>
      <w:r>
        <w:rPr>
          <w:rFonts w:ascii="Arial" w:cs="Arial" w:eastAsia="Arial" w:hAnsi="Arial"/>
          <w:sz w:val="22"/>
          <w:szCs w:val="22"/>
        </w:rPr>
        <w:t xml:space="preserve">The system supports three user roles: analyst (can view and work cases), manager (can assign cases, view team metrics, access feedback analytics), and admin (full system access including rescoring, batch operations, and user management). Authentication is handled via Google OAuth through NextAuth.js.</w:t>
      </w:r>
    </w:p>
    <w:p>
      <w:r>
        <w:br w:type="page"/>
      </w:r>
    </w:p>
    <w:p>
      <w:pPr>
        <w:pStyle w:val="Heading1"/>
        <w:spacing w:after="200" w:before="360"/>
      </w:pPr>
      <w:r>
        <w:rPr>
          <w:rFonts w:ascii="Arial" w:cs="Arial" w:eastAsia="Arial" w:hAnsi="Arial"/>
          <w:b/>
          <w:bCs/>
          <w:color w:val="1B4F72"/>
          <w:sz w:val="32"/>
          <w:szCs w:val="32"/>
        </w:rPr>
        <w:t xml:space="preserve">7. API Reference</w:t>
      </w:r>
    </w:p>
    <w:p>
      <w:pPr>
        <w:spacing w:after="160" w:line="276"/>
      </w:pPr>
      <w:r>
        <w:rPr>
          <w:rFonts w:ascii="Arial" w:cs="Arial" w:eastAsia="Arial" w:hAnsi="Arial"/>
          <w:sz w:val="22"/>
          <w:szCs w:val="22"/>
        </w:rPr>
        <w:t xml:space="preserve">All endpoints require authentication and return JSON. The base URL depends on your deployment.</w:t>
      </w:r>
    </w:p>
    <w:p>
      <w:pPr>
        <w:pStyle w:val="Heading2"/>
        <w:spacing w:after="160" w:before="280"/>
      </w:pPr>
      <w:r>
        <w:rPr>
          <w:rFonts w:ascii="Arial" w:cs="Arial" w:eastAsia="Arial" w:hAnsi="Arial"/>
          <w:b/>
          <w:bCs/>
          <w:color w:val="2C3E50"/>
          <w:sz w:val="28"/>
          <w:szCs w:val="28"/>
        </w:rPr>
        <w:t xml:space="preserve">7.1 Scoring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POST /api/v1/score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Score a single order. Accepts order JSON, returns risk score, risk band, and evidence.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POST /api/v1/score-all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Batch score all unscored connect orders in the database.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POST /api/v1/rescore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Delete all existing cases and re-score everything. Admin only. Use after pipeline updates.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GET /api/v1/ai/ml-score?caseId=X</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Get the full ML scoring breakdown for a specific case, including all layer scores.</w:t>
            </w:r>
          </w:p>
        </w:tc>
      </w:tr>
    </w:tbl>
    <w:p>
      <w:pPr>
        <w:spacing w:after="160" w:line="276"/>
      </w:pPr>
      <w:r>
        <w:rPr>
          <w:rFonts w:ascii="Arial" w:cs="Arial" w:eastAsia="Arial" w:hAnsi="Arial"/>
          <w:sz w:val="22"/>
          <w:szCs w:val="22"/>
        </w:rPr>
        <w:t xml:space="preserve"/>
      </w:r>
    </w:p>
    <w:p>
      <w:pPr>
        <w:pStyle w:val="Heading2"/>
        <w:spacing w:after="160" w:before="280"/>
      </w:pPr>
      <w:r>
        <w:rPr>
          <w:rFonts w:ascii="Arial" w:cs="Arial" w:eastAsia="Arial" w:hAnsi="Arial"/>
          <w:b/>
          <w:bCs/>
          <w:color w:val="2C3E50"/>
          <w:sz w:val="28"/>
          <w:szCs w:val="28"/>
        </w:rPr>
        <w:t xml:space="preserve">7.2 AI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POST /api/v1/ai/summary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Generate an AI-powered case summary. Falls back to rule-based summary if Claude unavailable.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POST /api/v1/ai/chat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Send a message to the AI analyst chat. Includes conversation history.</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GET /api/v1/ai/status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Check whether the AI integration (Anthropic API key) is configured.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GET /api/v1/ai/feedback</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Retrieve scoring accuracy analytics from resolved cases.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GET /api/v1/ai/anomaly?caseId=X</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Get statistical anomaly detection results for a specific case.</w:t>
            </w:r>
          </w:p>
        </w:tc>
      </w:tr>
    </w:tbl>
    <w:p>
      <w:pPr>
        <w:spacing w:after="16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B4F72"/>
          <w:sz w:val="32"/>
          <w:szCs w:val="32"/>
        </w:rPr>
        <w:t xml:space="preserve">8. Database Schema</w:t>
      </w:r>
    </w:p>
    <w:p>
      <w:pPr>
        <w:spacing w:after="160" w:line="276"/>
      </w:pPr>
      <w:r>
        <w:rPr>
          <w:rFonts w:ascii="Arial" w:cs="Arial" w:eastAsia="Arial" w:hAnsi="Arial"/>
          <w:sz w:val="22"/>
          <w:szCs w:val="22"/>
        </w:rPr>
        <w:t xml:space="preserve">The PostgreSQL database uses the following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users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User accounts with role (analyst/manager/admin), team, and login tracking</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orders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Raw service orders with all fields: customer info, hashes, agent, channel, promo</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cases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Scored fraud cases linked 1:1 to orders. Contains risk score, band, evidence, status, assignment, resolution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case_comments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Notes, status changes, and audit trail entries per case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ingestion_batches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Tracks CSV upload and API batch import progress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audit_log</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Immutable compliance trail of every action taken in the system</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All identity fields (phone, email, SSN, payment method) are stored as one-way hashes for privacy. The system never stores raw PII in these fields; it only needs to detect when two orders share the same value.</w:t>
      </w:r>
    </w:p>
    <w:p>
      <w:r>
        <w:br w:type="page"/>
      </w:r>
    </w:p>
    <w:p>
      <w:pPr>
        <w:pStyle w:val="Heading1"/>
        <w:spacing w:after="200" w:before="360"/>
      </w:pPr>
      <w:r>
        <w:rPr>
          <w:rFonts w:ascii="Arial" w:cs="Arial" w:eastAsia="Arial" w:hAnsi="Arial"/>
          <w:b/>
          <w:bCs/>
          <w:color w:val="1B4F72"/>
          <w:sz w:val="32"/>
          <w:szCs w:val="32"/>
        </w:rPr>
        <w:t xml:space="preserve">9. Deployment &amp; Operations</w:t>
      </w:r>
    </w:p>
    <w:p>
      <w:pPr>
        <w:pStyle w:val="Heading2"/>
        <w:spacing w:after="160" w:before="280"/>
      </w:pPr>
      <w:r>
        <w:rPr>
          <w:rFonts w:ascii="Arial" w:cs="Arial" w:eastAsia="Arial" w:hAnsi="Arial"/>
          <w:b/>
          <w:bCs/>
          <w:color w:val="2C3E50"/>
          <w:sz w:val="28"/>
          <w:szCs w:val="28"/>
        </w:rPr>
        <w:t xml:space="preserve">9.1 Deployment Process</w:t>
      </w:r>
    </w:p>
    <w:p>
      <w:pPr>
        <w:spacing w:after="160" w:line="276"/>
      </w:pPr>
      <w:r>
        <w:rPr>
          <w:rFonts w:ascii="Arial" w:cs="Arial" w:eastAsia="Arial" w:hAnsi="Arial"/>
          <w:sz w:val="22"/>
          <w:szCs w:val="22"/>
        </w:rPr>
        <w:t xml:space="preserve">FraudShield deploys automatically via Vercel. The workflow is simple: push code to the GitHub repository and Vercel detects the push, builds the Next.js application, and deploys it to production. There is no manual build step.</w:t>
      </w:r>
    </w:p>
    <w:p>
      <w:pPr>
        <w:pStyle w:val="ListParagraph"/>
        <w:numPr>
          <w:ilvl w:val="0"/>
          <w:numId w:val="5"/>
        </w:numPr>
        <w:spacing w:after="80"/>
      </w:pPr>
      <w:r>
        <w:rPr>
          <w:rFonts w:ascii="Arial" w:cs="Arial" w:eastAsia="Arial" w:hAnsi="Arial"/>
          <w:sz w:val="22"/>
          <w:szCs w:val="22"/>
        </w:rPr>
        <w:t xml:space="preserve">Make code changes locally</w:t>
      </w:r>
    </w:p>
    <w:p>
      <w:pPr>
        <w:pStyle w:val="ListParagraph"/>
        <w:numPr>
          <w:ilvl w:val="0"/>
          <w:numId w:val="5"/>
        </w:numPr>
        <w:spacing w:after="80"/>
      </w:pPr>
      <w:r>
        <w:rPr>
          <w:rFonts w:ascii="Arial" w:cs="Arial" w:eastAsia="Arial" w:hAnsi="Arial"/>
          <w:sz w:val="22"/>
          <w:szCs w:val="22"/>
        </w:rPr>
        <w:t xml:space="preserve">Commit changes: </w:t>
      </w:r>
      <w:r>
        <w:rPr>
          <w:rFonts w:ascii="Arial" w:cs="Arial" w:eastAsia="Arial" w:hAnsi="Arial"/>
          <w:i/>
          <w:iCs/>
          <w:sz w:val="22"/>
          <w:szCs w:val="22"/>
        </w:rPr>
        <w:t xml:space="preserve">git add . &amp;&amp; git commit -m "description"</w:t>
      </w:r>
    </w:p>
    <w:p>
      <w:pPr>
        <w:pStyle w:val="ListParagraph"/>
        <w:numPr>
          <w:ilvl w:val="0"/>
          <w:numId w:val="5"/>
        </w:numPr>
        <w:spacing w:after="80"/>
      </w:pPr>
      <w:r>
        <w:rPr>
          <w:rFonts w:ascii="Arial" w:cs="Arial" w:eastAsia="Arial" w:hAnsi="Arial"/>
          <w:sz w:val="22"/>
          <w:szCs w:val="22"/>
        </w:rPr>
        <w:t xml:space="preserve">Push to GitHub: </w:t>
      </w:r>
      <w:r>
        <w:rPr>
          <w:rFonts w:ascii="Arial" w:cs="Arial" w:eastAsia="Arial" w:hAnsi="Arial"/>
          <w:i/>
          <w:iCs/>
          <w:sz w:val="22"/>
          <w:szCs w:val="22"/>
        </w:rPr>
        <w:t xml:space="preserve">git push</w:t>
      </w:r>
    </w:p>
    <w:p>
      <w:pPr>
        <w:pStyle w:val="ListParagraph"/>
        <w:numPr>
          <w:ilvl w:val="0"/>
          <w:numId w:val="5"/>
        </w:numPr>
        <w:spacing w:after="200"/>
      </w:pPr>
      <w:r>
        <w:rPr>
          <w:rFonts w:ascii="Arial" w:cs="Arial" w:eastAsia="Arial" w:hAnsi="Arial"/>
          <w:sz w:val="22"/>
          <w:szCs w:val="22"/>
        </w:rPr>
        <w:t xml:space="preserve">Vercel auto-deploys within 1-2 minutes</w:t>
      </w:r>
    </w:p>
    <w:p>
      <w:pPr>
        <w:pStyle w:val="Heading2"/>
        <w:spacing w:after="160" w:before="280"/>
      </w:pPr>
      <w:r>
        <w:rPr>
          <w:rFonts w:ascii="Arial" w:cs="Arial" w:eastAsia="Arial" w:hAnsi="Arial"/>
          <w:b/>
          <w:bCs/>
          <w:color w:val="2C3E50"/>
          <w:sz w:val="28"/>
          <w:szCs w:val="28"/>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DATABASE_URL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Neon PostgreSQL connection string</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NEXTAUTH_SECRET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Session encryption key for NextAuth</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NEXTAUTH_URL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Production URL for OAuth callbacks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GOOGLE_CLIENT_ID</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Google OAuth client ID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GOOGLE_CLIENT_SECRET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Google OAuth client secret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ANTHROPIC_API_KEY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2"/>
                <w:szCs w:val="22"/>
              </w:rPr>
              <w:t xml:space="preserve">Anthropic API key for Claude-powered features (optional)</w:t>
            </w:r>
          </w:p>
        </w:tc>
      </w:tr>
    </w:tbl>
    <w:p>
      <w:pPr>
        <w:spacing w:after="160" w:line="276"/>
      </w:pPr>
      <w:r>
        <w:rPr>
          <w:rFonts w:ascii="Arial" w:cs="Arial" w:eastAsia="Arial" w:hAnsi="Arial"/>
          <w:sz w:val="22"/>
          <w:szCs w:val="22"/>
        </w:rPr>
        <w:t xml:space="preserve"/>
      </w:r>
    </w:p>
    <w:p>
      <w:pPr>
        <w:shd w:fill="EBF5FB" w:val="clear"/>
        <w:spacing w:after="200" w:before="120"/>
        <w:ind w:left="360" w:right="360"/>
      </w:pPr>
      <w:r>
        <w:rPr>
          <w:rFonts w:ascii="Arial" w:cs="Arial" w:eastAsia="Arial" w:hAnsi="Arial"/>
          <w:i/>
          <w:iCs/>
          <w:color w:val="2C3E50"/>
          <w:sz w:val="22"/>
          <w:szCs w:val="22"/>
        </w:rPr>
        <w:t xml:space="preserve">The ANTHROPIC_API_KEY is optional. When not set, AI features gracefully fall back to rule-based summaries. All ML scoring layers (embeddings, Isolation Forest, graph analysis) work without it since they run entirely in TypeScript.</w:t>
      </w:r>
    </w:p>
    <w:p>
      <w:pPr>
        <w:pStyle w:val="Heading2"/>
        <w:spacing w:after="160" w:before="280"/>
      </w:pPr>
      <w:r>
        <w:rPr>
          <w:rFonts w:ascii="Arial" w:cs="Arial" w:eastAsia="Arial" w:hAnsi="Arial"/>
          <w:b/>
          <w:bCs/>
          <w:color w:val="2C3E50"/>
          <w:sz w:val="28"/>
          <w:szCs w:val="28"/>
        </w:rPr>
        <w:t xml:space="preserve">9.3 Future Roadmap</w:t>
      </w:r>
    </w:p>
    <w:p>
      <w:pPr>
        <w:pStyle w:val="ListParagraph"/>
        <w:numPr>
          <w:ilvl w:val="0"/>
          <w:numId w:val="2"/>
        </w:numPr>
        <w:spacing w:after="80"/>
      </w:pPr>
      <w:r>
        <w:rPr>
          <w:rFonts w:ascii="Arial" w:cs="Arial" w:eastAsia="Arial" w:hAnsi="Arial"/>
          <w:b/>
          <w:bCs/>
          <w:sz w:val="22"/>
          <w:szCs w:val="22"/>
        </w:rPr>
        <w:t xml:space="preserve">Spectrum OMS Integration: </w:t>
      </w:r>
      <w:r>
        <w:rPr>
          <w:rFonts w:ascii="Arial" w:cs="Arial" w:eastAsia="Arial" w:hAnsi="Arial"/>
          <w:sz w:val="22"/>
          <w:szCs w:val="22"/>
        </w:rPr>
        <w:t xml:space="preserve">Direct API integration with Spectrum's Order Management System for real-time order ingestion instead of CSV uploads</w:t>
      </w:r>
    </w:p>
    <w:p>
      <w:pPr>
        <w:pStyle w:val="ListParagraph"/>
        <w:numPr>
          <w:ilvl w:val="0"/>
          <w:numId w:val="2"/>
        </w:numPr>
        <w:spacing w:after="80"/>
      </w:pPr>
      <w:r>
        <w:rPr>
          <w:rFonts w:ascii="Arial" w:cs="Arial" w:eastAsia="Arial" w:hAnsi="Arial"/>
          <w:b/>
          <w:bCs/>
          <w:sz w:val="22"/>
          <w:szCs w:val="22"/>
        </w:rPr>
        <w:t xml:space="preserve">Amazon SageMaker Migration: </w:t>
      </w:r>
      <w:r>
        <w:rPr>
          <w:rFonts w:ascii="Arial" w:cs="Arial" w:eastAsia="Arial" w:hAnsi="Arial"/>
          <w:sz w:val="22"/>
          <w:szCs w:val="22"/>
        </w:rPr>
        <w:t xml:space="preserve">Move the GBDT model training to SageMaker for scalable model management, A/B testing, and automatic retraining</w:t>
      </w:r>
    </w:p>
    <w:p>
      <w:pPr>
        <w:pStyle w:val="ListParagraph"/>
        <w:numPr>
          <w:ilvl w:val="0"/>
          <w:numId w:val="2"/>
        </w:numPr>
        <w:spacing w:after="80"/>
      </w:pPr>
      <w:r>
        <w:rPr>
          <w:rFonts w:ascii="Arial" w:cs="Arial" w:eastAsia="Arial" w:hAnsi="Arial"/>
          <w:b/>
          <w:bCs/>
          <w:sz w:val="22"/>
          <w:szCs w:val="22"/>
        </w:rPr>
        <w:t xml:space="preserve">Real-Time Webhooks: </w:t>
      </w:r>
      <w:r>
        <w:rPr>
          <w:rFonts w:ascii="Arial" w:cs="Arial" w:eastAsia="Arial" w:hAnsi="Arial"/>
          <w:sz w:val="22"/>
          <w:szCs w:val="22"/>
        </w:rPr>
        <w:t xml:space="preserve">Push notifications to upstream systems when critical-risk orders are detected</w:t>
      </w:r>
    </w:p>
    <w:p>
      <w:pPr>
        <w:pStyle w:val="ListParagraph"/>
        <w:numPr>
          <w:ilvl w:val="0"/>
          <w:numId w:val="2"/>
        </w:numPr>
        <w:spacing w:after="200"/>
      </w:pPr>
      <w:r>
        <w:rPr>
          <w:rFonts w:ascii="Arial" w:cs="Arial" w:eastAsia="Arial" w:hAnsi="Arial"/>
          <w:b/>
          <w:bCs/>
          <w:sz w:val="22"/>
          <w:szCs w:val="22"/>
        </w:rPr>
        <w:t xml:space="preserve">Historical Database Comparison: </w:t>
      </w:r>
      <w:r>
        <w:rPr>
          <w:rFonts w:ascii="Arial" w:cs="Arial" w:eastAsia="Arial" w:hAnsi="Arial"/>
          <w:sz w:val="22"/>
          <w:szCs w:val="22"/>
        </w:rPr>
        <w:t xml:space="preserve">Cross-reference new orders against the full Spectrum customer database for disconnect history, not just orders in the FraudShield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7F8C8D"/>
        <w:sz w:val="18"/>
        <w:szCs w:val="18"/>
      </w:rPr>
      <w:t xml:space="preserve">FraudShield</w:t>
    </w:r>
    <w:r>
      <w:rPr>
        <w:rFonts w:ascii="Arial" w:cs="Arial" w:eastAsia="Arial" w:hAnsi="Arial"/>
        <w:color w:val="7F8C8D"/>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2026-06-10T07:59:17.729Z</dcterms:created>
  <dcterms:modified xsi:type="dcterms:W3CDTF">2026-06-10T07:59:17.730Z</dcterms:modified>
</cp:coreProperties>
</file>

<file path=docProps/custom.xml><?xml version="1.0" encoding="utf-8"?>
<Properties xmlns="http://schemas.openxmlformats.org/officeDocument/2006/custom-properties" xmlns:vt="http://schemas.openxmlformats.org/officeDocument/2006/docPropsVTypes"/>
</file>