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66666"/>
          <w:sz w:val="22"/>
          <w:szCs w:val="22"/>
        </w:rPr>
        <w:t xml:space="preserve">CRSW data infrastructure</w:t>
      </w:r>
    </w:p>
    <w:p>
      <w:pPr>
        <w:spacing w:after="240"/>
      </w:pPr>
      <w:r>
        <w:rPr>
          <w:rFonts w:ascii="Calibri" w:cs="Calibri" w:eastAsia="Calibri" w:hAnsi="Calibri"/>
          <w:b/>
          <w:bCs/>
          <w:sz w:val="36"/>
          <w:szCs w:val="36"/>
        </w:rPr>
        <w:t xml:space="preserve">Web-based data deposit: proposal for a proof of concept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Document</w:t>
            </w:r>
          </w:p>
        </w:tc>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Value</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Register number</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[00-series number to be assigned]</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Version</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0.2 (draft for discussion)</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 September 2026</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Author</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KDL analyst</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Audience</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eResearch; Centre Directors and centre management</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Status</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Proposal — approval sought before any service is made available beyond the KCL network</w:t>
            </w:r>
          </w:p>
        </w:tc>
      </w:tr>
    </w:tbl>
    <w:p>
      <w:pPr>
        <w:pStyle w:val="Heading1"/>
        <w:spacing w:after="120" w:before="280"/>
      </w:pPr>
      <w:r>
        <w:rPr>
          <w:rFonts w:ascii="Calibri" w:cs="Calibri" w:eastAsia="Calibri" w:hAnsi="Calibri"/>
        </w:rPr>
        <w:t xml:space="preserve">Purpose</w:t>
      </w:r>
    </w:p>
    <w:p>
      <w:pPr>
        <w:spacing w:after="120"/>
      </w:pPr>
      <w:r>
        <w:rPr>
          <w:rFonts w:ascii="Calibri" w:cs="Calibri" w:eastAsia="Calibri" w:hAnsi="Calibri"/>
          <w:sz w:val="22"/>
          <w:szCs w:val="22"/>
        </w:rPr>
        <w:t xml:space="preserve">This document proposes a browser-based way for CRSW researchers to deposit data into the centre's storage, as an alternative to the current command-line tool. It explains the problem, how the proposed service would work, what it changes and what it does not, and what is being asked of eResearch and of centre management. It is a proposal for a proof of concept, not a request to change the agreed storage design.</w:t>
      </w:r>
    </w:p>
    <w:p>
      <w:pPr>
        <w:pStyle w:val="Heading1"/>
        <w:spacing w:after="120" w:before="280"/>
      </w:pPr>
      <w:r>
        <w:rPr>
          <w:rFonts w:ascii="Calibri" w:cs="Calibri" w:eastAsia="Calibri" w:hAnsi="Calibri"/>
        </w:rPr>
        <w:t xml:space="preserve">Problem statement</w:t>
      </w:r>
    </w:p>
    <w:p>
      <w:pPr>
        <w:spacing w:after="120"/>
      </w:pPr>
      <w:r>
        <w:rPr>
          <w:rFonts w:ascii="Calibri" w:cs="Calibri" w:eastAsia="Calibri" w:hAnsi="Calibri"/>
          <w:sz w:val="22"/>
          <w:szCs w:val="22"/>
        </w:rPr>
        <w:t xml:space="preserve">The current deposit route requires each researcher to install a small toolset (rclone, Python, Git), connect to the KCL VPN and run a deposit script that captures metadata and writes files to the storage under a controlled naming scheme. This works for KCL-based staff.</w:t>
      </w:r>
    </w:p>
    <w:p>
      <w:pPr>
        <w:spacing w:after="120"/>
      </w:pPr>
      <w:r>
        <w:rPr>
          <w:rFonts w:ascii="Calibri" w:cs="Calibri" w:eastAsia="Calibri" w:hAnsi="Calibri"/>
          <w:sz w:val="22"/>
          <w:szCs w:val="22"/>
        </w:rPr>
        <w:t xml:space="preserve">University of Nottingham staff have KCL affiliation but have not been able to connect reliably to the KCL VPN. Despite several attempts and support from both institutions, as of September 2026 no UoN researcher has completed a deposit. Roughly half the centre's researchers are at UoN, so this is not an edge case.</w:t>
      </w:r>
    </w:p>
    <w:p>
      <w:pPr>
        <w:spacing w:after="120"/>
      </w:pPr>
      <w:r>
        <w:rPr>
          <w:rFonts w:ascii="Calibri" w:cs="Calibri" w:eastAsia="Calibri" w:hAnsi="Calibri"/>
          <w:sz w:val="22"/>
          <w:szCs w:val="22"/>
        </w:rPr>
        <w:t xml:space="preserve">Opening the storage gateway directly to the internet, or to UoN's network ranges, has been considered and is not thought practical from a security point of view.</w:t>
      </w:r>
    </w:p>
    <w:p>
      <w:pPr>
        <w:pStyle w:val="Heading1"/>
        <w:spacing w:after="120" w:before="280"/>
      </w:pPr>
      <w:r>
        <w:rPr>
          <w:rFonts w:ascii="Calibri" w:cs="Calibri" w:eastAsia="Calibri" w:hAnsi="Calibri"/>
        </w:rPr>
        <w:t xml:space="preserve">Proposal</w:t>
      </w:r>
    </w:p>
    <w:p>
      <w:pPr>
        <w:spacing w:after="120"/>
      </w:pPr>
      <w:r>
        <w:rPr>
          <w:rFonts w:ascii="Calibri" w:cs="Calibri" w:eastAsia="Calibri" w:hAnsi="Calibri"/>
          <w:sz w:val="22"/>
          <w:szCs w:val="22"/>
        </w:rPr>
        <w:t xml:space="preserve">Run a small web service on a KCL-hosted virtual machine (already commissioned) that researchers reach through a normal web browser and their KCL login. The researcher fills in the same metadata as the current tool asks for, chooses their files, and the service passes the data on to the storage using the same naming and description rules. Nothing about the storage layout, the metadata standard or the access-control model changes; what changes is that the rules are applied by the service rather than by software on each researcher's machine.</w:t>
      </w:r>
    </w:p>
    <w:p>
      <w:pPr>
        <w:spacing w:after="120"/>
      </w:pPr>
      <w:r>
        <w:rPr>
          <w:rFonts w:ascii="Calibri" w:cs="Calibri" w:eastAsia="Calibri" w:hAnsi="Calibri"/>
          <w:sz w:val="22"/>
          <w:szCs w:val="22"/>
        </w:rPr>
        <w:t xml:space="preserve">Because the service is reached over the web with KCL single sign-on, the VPN step disappears. Access is limited to members of the existing centre group in the KCL directory, which UoN staff can be added to.</w:t>
      </w:r>
    </w:p>
    <w:p>
      <w:pPr>
        <w:pStyle w:val="Heading2"/>
        <w:spacing w:after="100" w:before="200"/>
      </w:pPr>
      <w:r>
        <w:rPr>
          <w:rFonts w:ascii="Calibri" w:cs="Calibri" w:eastAsia="Calibri" w:hAnsi="Calibri"/>
        </w:rPr>
        <w:t xml:space="preserve">How a deposit would work</w:t>
      </w:r>
    </w:p>
    <w:p>
      <w:pPr>
        <w:pStyle w:val="ListParagraph"/>
        <w:numPr>
          <w:ilvl w:val="0"/>
          <w:numId w:val="2"/>
        </w:numPr>
        <w:spacing w:after="80"/>
      </w:pPr>
      <w:r>
        <w:rPr>
          <w:rFonts w:ascii="Calibri" w:cs="Calibri" w:eastAsia="Calibri" w:hAnsi="Calibri"/>
          <w:sz w:val="22"/>
          <w:szCs w:val="22"/>
        </w:rPr>
        <w:t xml:space="preserve">The researcher signs in with their KCL account. The service checks they are a member of the centre group.</w:t>
      </w:r>
    </w:p>
    <w:p>
      <w:pPr>
        <w:pStyle w:val="ListParagraph"/>
        <w:numPr>
          <w:ilvl w:val="0"/>
          <w:numId w:val="2"/>
        </w:numPr>
        <w:spacing w:after="80"/>
      </w:pPr>
      <w:r>
        <w:rPr>
          <w:rFonts w:ascii="Calibri" w:cs="Calibri" w:eastAsia="Calibri" w:hAnsi="Calibri"/>
          <w:sz w:val="22"/>
          <w:szCs w:val="22"/>
        </w:rPr>
        <w:t xml:space="preserve">They complete a short form describing the dataset (title, research strand, date, state of the data and so on). The service checks the entries and works out where the files belong.</w:t>
      </w:r>
    </w:p>
    <w:p>
      <w:pPr>
        <w:pStyle w:val="ListParagraph"/>
        <w:numPr>
          <w:ilvl w:val="0"/>
          <w:numId w:val="2"/>
        </w:numPr>
        <w:spacing w:after="80"/>
      </w:pPr>
      <w:r>
        <w:rPr>
          <w:rFonts w:ascii="Calibri" w:cs="Calibri" w:eastAsia="Calibri" w:hAnsi="Calibri"/>
          <w:sz w:val="22"/>
          <w:szCs w:val="22"/>
        </w:rPr>
        <w:t xml:space="preserve">They choose the files. The browser sends them to the service, which passes each one straight through to the storage as it arrives. The service does not keep a copy.</w:t>
      </w:r>
    </w:p>
    <w:p>
      <w:pPr>
        <w:pStyle w:val="ListParagraph"/>
        <w:numPr>
          <w:ilvl w:val="0"/>
          <w:numId w:val="2"/>
        </w:numPr>
        <w:spacing w:after="80"/>
      </w:pPr>
      <w:r>
        <w:rPr>
          <w:rFonts w:ascii="Calibri" w:cs="Calibri" w:eastAsia="Calibri" w:hAnsi="Calibri"/>
          <w:sz w:val="22"/>
          <w:szCs w:val="22"/>
        </w:rPr>
        <w:t xml:space="preserve">When all files are in, the service writes the metadata record and a manifest listing what was deposited. The manifest is written last so an incomplete deposit is obvious.</w:t>
      </w:r>
    </w:p>
    <w:p>
      <w:pPr>
        <w:pStyle w:val="ListParagraph"/>
        <w:numPr>
          <w:ilvl w:val="0"/>
          <w:numId w:val="2"/>
        </w:numPr>
        <w:spacing w:after="80"/>
      </w:pPr>
      <w:r>
        <w:rPr>
          <w:rFonts w:ascii="Calibri" w:cs="Calibri" w:eastAsia="Calibri" w:hAnsi="Calibri"/>
          <w:sz w:val="22"/>
          <w:szCs w:val="22"/>
        </w:rPr>
        <w:t xml:space="preserve">The deposit lands in a holding area. A separate checking step, run inside the KCL network, confirms the manifest matches the files and the researcher was entitled to deposit there, then moves the data to its proper place. For now this step is run by KDL on request; it can be automated later.</w:t>
      </w:r>
    </w:p>
    <w:p>
      <w:pPr>
        <w:pStyle w:val="Heading2"/>
        <w:spacing w:after="100" w:before="200"/>
      </w:pPr>
      <w:r>
        <w:rPr>
          <w:rFonts w:ascii="Calibri" w:cs="Calibri" w:eastAsia="Calibri" w:hAnsi="Calibri"/>
        </w:rPr>
        <w:t xml:space="preserve">What stays the same</w:t>
      </w:r>
    </w:p>
    <w:p>
      <w:pPr>
        <w:pStyle w:val="ListParagraph"/>
        <w:numPr>
          <w:ilvl w:val="0"/>
          <w:numId w:val="3"/>
        </w:numPr>
        <w:spacing w:after="80"/>
      </w:pPr>
      <w:r>
        <w:rPr>
          <w:rFonts w:ascii="Calibri" w:cs="Calibri" w:eastAsia="Calibri" w:hAnsi="Calibri"/>
          <w:sz w:val="22"/>
          <w:szCs w:val="22"/>
        </w:rPr>
        <w:t xml:space="preserve">Storage remains the eResearch Ceph cluster; no new storage is introduced.</w:t>
      </w:r>
    </w:p>
    <w:p>
      <w:pPr>
        <w:pStyle w:val="ListParagraph"/>
        <w:numPr>
          <w:ilvl w:val="0"/>
          <w:numId w:val="3"/>
        </w:numPr>
        <w:spacing w:after="80"/>
      </w:pPr>
      <w:r>
        <w:rPr>
          <w:rFonts w:ascii="Calibri" w:cs="Calibri" w:eastAsia="Calibri" w:hAnsi="Calibri"/>
          <w:sz w:val="22"/>
          <w:szCs w:val="22"/>
        </w:rPr>
        <w:t xml:space="preserve">Folder naming, metadata format and the raw / interim / final states are unchanged.</w:t>
      </w:r>
    </w:p>
    <w:p>
      <w:pPr>
        <w:pStyle w:val="ListParagraph"/>
        <w:numPr>
          <w:ilvl w:val="0"/>
          <w:numId w:val="3"/>
        </w:numPr>
        <w:spacing w:after="80"/>
      </w:pPr>
      <w:r>
        <w:rPr>
          <w:rFonts w:ascii="Calibri" w:cs="Calibri" w:eastAsia="Calibri" w:hAnsi="Calibri"/>
          <w:sz w:val="22"/>
          <w:szCs w:val="22"/>
        </w:rPr>
        <w:t xml:space="preserve">The existing command-line tool continues to work for anyone who prefers it or already has it set up.</w:t>
      </w:r>
    </w:p>
    <w:p>
      <w:pPr>
        <w:pStyle w:val="ListParagraph"/>
        <w:numPr>
          <w:ilvl w:val="0"/>
          <w:numId w:val="3"/>
        </w:numPr>
        <w:spacing w:after="80"/>
      </w:pPr>
      <w:r>
        <w:rPr>
          <w:rFonts w:ascii="Calibri" w:cs="Calibri" w:eastAsia="Calibri" w:hAnsi="Calibri"/>
          <w:sz w:val="22"/>
          <w:szCs w:val="22"/>
        </w:rPr>
        <w:t xml:space="preserve">Access to read data is unaffected.</w:t>
      </w:r>
    </w:p>
    <w:p>
      <w:pPr>
        <w:spacing w:after="120"/>
      </w:pPr>
      <w:r>
        <w:rPr>
          <w:rFonts w:ascii="Calibri" w:cs="Calibri" w:eastAsia="Calibri" w:hAnsi="Calibri"/>
          <w:sz w:val="22"/>
          <w:szCs w:val="22"/>
        </w:rPr>
        <w:t xml:space="preserve">The service and the checking step are packaged as containers (Docker or Podman, whichever eResearch prefer). This keeps the two virtual machines identical in how they are built, makes the security review straightforward, and means either machine can be rebuilt from scratch quickly if the proof of concept is withdrawn or the host replaced.</w:t>
      </w:r>
    </w:p>
    <w:p>
      <w:pPr>
        <w:pStyle w:val="Heading1"/>
        <w:spacing w:after="120" w:before="280"/>
      </w:pPr>
      <w:r>
        <w:rPr>
          <w:rFonts w:ascii="Calibri" w:cs="Calibri" w:eastAsia="Calibri" w:hAnsi="Calibri"/>
        </w:rPr>
        <w:t xml:space="preserve">Security</w:t>
      </w:r>
    </w:p>
    <w:p>
      <w:pPr>
        <w:spacing w:after="120"/>
      </w:pPr>
      <w:r>
        <w:rPr>
          <w:rFonts w:ascii="Calibri" w:cs="Calibri" w:eastAsia="Calibri" w:hAnsi="Calibri"/>
          <w:sz w:val="22"/>
          <w:szCs w:val="22"/>
        </w:rPr>
        <w:t xml:space="preserve">A web service that can be reached from the internet needs more care than a script on a laptop. The design has three layers, each of which assumes the one in front of it might fail.</w:t>
      </w:r>
    </w:p>
    <w:p>
      <w:pPr>
        <w:pStyle w:val="ListParagraph"/>
        <w:numPr>
          <w:ilvl w:val="0"/>
          <w:numId w:val="3"/>
        </w:numPr>
        <w:spacing w:after="80"/>
      </w:pPr>
      <w:r>
        <w:rPr>
          <w:rFonts w:ascii="Calibri" w:cs="Calibri" w:eastAsia="Calibri" w:hAnsi="Calibri"/>
          <w:sz w:val="22"/>
          <w:szCs w:val="22"/>
        </w:rPr>
        <w:t xml:space="preserve">Sign-in. Only members of the centre group can see anything beyond the login page. Every deposit is tied to a named KCL account, which gives an audit trail.</w:t>
      </w:r>
    </w:p>
    <w:p>
      <w:pPr>
        <w:pStyle w:val="ListParagraph"/>
        <w:numPr>
          <w:ilvl w:val="0"/>
          <w:numId w:val="3"/>
        </w:numPr>
        <w:spacing w:after="80"/>
      </w:pPr>
      <w:r>
        <w:rPr>
          <w:rFonts w:ascii="Calibri" w:cs="Calibri" w:eastAsia="Calibri" w:hAnsi="Calibri"/>
          <w:sz w:val="22"/>
          <w:szCs w:val="22"/>
        </w:rPr>
        <w:t xml:space="preserve">Limited key. The service holds a storage credential that can only write to the holding area. It cannot read, alter or delete anything already deposited. If the service were compromised, the worst outcome is junk in the holding area, which can be cleared.</w:t>
      </w:r>
    </w:p>
    <w:p>
      <w:pPr>
        <w:pStyle w:val="ListParagraph"/>
        <w:numPr>
          <w:ilvl w:val="0"/>
          <w:numId w:val="3"/>
        </w:numPr>
        <w:spacing w:after="80"/>
      </w:pPr>
      <w:r>
        <w:rPr>
          <w:rFonts w:ascii="Calibri" w:cs="Calibri" w:eastAsia="Calibri" w:hAnsi="Calibri"/>
          <w:sz w:val="22"/>
          <w:szCs w:val="22"/>
        </w:rPr>
        <w:t xml:space="preserve">Checking before promotion. Nothing enters the trusted areas of the store until the checking step has verified it. That step runs inside the KCL network and is not reachable from the web.</w:t>
      </w:r>
    </w:p>
    <w:p>
      <w:pPr>
        <w:spacing w:after="120"/>
      </w:pPr>
      <w:r>
        <w:rPr>
          <w:rFonts w:ascii="Calibri" w:cs="Calibri" w:eastAsia="Calibri" w:hAnsi="Calibri"/>
          <w:sz w:val="22"/>
          <w:szCs w:val="22"/>
        </w:rPr>
        <w:t xml:space="preserve">This also improves on the current position. Today each researcher holds a personal storage key which, in principle, lets them overwrite their own earlier deposits. With the web service no researcher holds a durable storage credential at all, so the immutability of raw and final data is enforced by the design rather than by instruction.</w:t>
      </w:r>
    </w:p>
    <w:p>
      <w:pPr>
        <w:spacing w:after="120"/>
      </w:pPr>
      <w:r>
        <w:rPr>
          <w:rFonts w:ascii="Calibri" w:cs="Calibri" w:eastAsia="Calibri" w:hAnsi="Calibri"/>
          <w:sz w:val="22"/>
          <w:szCs w:val="22"/>
        </w:rPr>
        <w:t xml:space="preserve">Standard measures apply as well: upload size limits, per-user quotas, rate limiting and nothing else running on the machine. The proof of concept will be reviewed with eResearch before it is exposed beyond the KCL network.</w:t>
      </w:r>
    </w:p>
    <w:p>
      <w:pPr>
        <w:pStyle w:val="Heading1"/>
        <w:spacing w:after="120" w:before="280"/>
      </w:pPr>
      <w:r>
        <w:rPr>
          <w:rFonts w:ascii="Calibri" w:cs="Calibri" w:eastAsia="Calibri" w:hAnsi="Calibri"/>
        </w:rPr>
        <w:t xml:space="preserve">Limitations</w:t>
      </w:r>
    </w:p>
    <w:p>
      <w:pPr>
        <w:pStyle w:val="ListParagraph"/>
        <w:numPr>
          <w:ilvl w:val="0"/>
          <w:numId w:val="3"/>
        </w:numPr>
        <w:spacing w:after="80"/>
      </w:pPr>
      <w:r>
        <w:rPr>
          <w:rFonts w:ascii="Calibri" w:cs="Calibri" w:eastAsia="Calibri" w:hAnsi="Calibri"/>
          <w:sz w:val="22"/>
          <w:szCs w:val="22"/>
        </w:rPr>
        <w:t xml:space="preserve">Very large deposits (tens of GB or more) are better suited to the command-line tool. The service is designed so that large-file support can be added later, but that is not part of the proof of concept.</w:t>
      </w:r>
    </w:p>
    <w:p>
      <w:pPr>
        <w:pStyle w:val="ListParagraph"/>
        <w:numPr>
          <w:ilvl w:val="0"/>
          <w:numId w:val="3"/>
        </w:numPr>
        <w:spacing w:after="80"/>
      </w:pPr>
      <w:r>
        <w:rPr>
          <w:rFonts w:ascii="Calibri" w:cs="Calibri" w:eastAsia="Calibri" w:hAnsi="Calibri"/>
          <w:sz w:val="22"/>
          <w:szCs w:val="22"/>
        </w:rPr>
        <w:t xml:space="preserve">Uploads are not resumable in the first version; a dropped connection means restarting that file.</w:t>
      </w:r>
    </w:p>
    <w:p>
      <w:pPr>
        <w:pStyle w:val="ListParagraph"/>
        <w:numPr>
          <w:ilvl w:val="0"/>
          <w:numId w:val="3"/>
        </w:numPr>
        <w:spacing w:after="80"/>
      </w:pPr>
      <w:r>
        <w:rPr>
          <w:rFonts w:ascii="Calibri" w:cs="Calibri" w:eastAsia="Calibri" w:hAnsi="Calibri"/>
          <w:sz w:val="22"/>
          <w:szCs w:val="22"/>
        </w:rPr>
        <w:t xml:space="preserve">The service depends on KCL single sign-on being configured for it, which needs eResearch involvement.</w:t>
      </w:r>
    </w:p>
    <w:p>
      <w:pPr>
        <w:pStyle w:val="Heading1"/>
        <w:spacing w:after="120" w:before="280"/>
      </w:pPr>
      <w:r>
        <w:rPr>
          <w:rFonts w:ascii="Calibri" w:cs="Calibri" w:eastAsia="Calibri" w:hAnsi="Calibri"/>
        </w:rPr>
        <w:t xml:space="preserve">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00"/>
      </w:tblGrid>
      <w:tr>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Stage</w:t>
            </w:r>
          </w:p>
        </w:tc>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Gate</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 Build on the KCL network</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KDL builds the service on the commissioned VM, reachable only from inside KCL. Existing deposit rules are shared between the two tools so they cannot drift apart.</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KDL internal review</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 Security review</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eResearch reviews the design, the limited key and the promotion step.</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eResearch sign-off</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 Pilot with UoN researchers</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Service made reachable via SSO. Two or three UoN researchers deposit real data; KDL runs the checking step by hand.</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Centre management sign-off to proceed to pilot</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 Decide</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Based on the pilot: adopt as a supported route, adjust, or withdraw.</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Joint decision</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Stage 1 can proceed now without commitment from anyone else. Stages 2 to 4 need the approvals below.</w:t>
      </w:r>
    </w:p>
    <w:p>
      <w:pPr>
        <w:pStyle w:val="Heading1"/>
        <w:spacing w:after="120" w:before="280"/>
      </w:pPr>
      <w:r>
        <w:rPr>
          <w:rFonts w:ascii="Calibri" w:cs="Calibri" w:eastAsia="Calibri" w:hAnsi="Calibri"/>
        </w:rPr>
        <w:t xml:space="preserve">What we are asking for</w:t>
      </w:r>
    </w:p>
    <w:p>
      <w:pPr>
        <w:pStyle w:val="Heading2"/>
        <w:spacing w:after="100" w:before="200"/>
      </w:pPr>
      <w:r>
        <w:rPr>
          <w:rFonts w:ascii="Calibri" w:cs="Calibri" w:eastAsia="Calibri" w:hAnsi="Calibri"/>
        </w:rPr>
        <w:t xml:space="preserve">From eResearch</w:t>
      </w:r>
    </w:p>
    <w:p>
      <w:pPr>
        <w:pStyle w:val="ListParagraph"/>
        <w:numPr>
          <w:ilvl w:val="0"/>
          <w:numId w:val="3"/>
        </w:numPr>
        <w:spacing w:after="80"/>
      </w:pPr>
      <w:r>
        <w:rPr>
          <w:rFonts w:ascii="Calibri" w:cs="Calibri" w:eastAsia="Calibri" w:hAnsi="Calibri"/>
          <w:sz w:val="22"/>
          <w:szCs w:val="22"/>
        </w:rPr>
        <w:t xml:space="preserve">A storage credential for the service restricted to the holding area only.</w:t>
      </w:r>
    </w:p>
    <w:p>
      <w:pPr>
        <w:pStyle w:val="ListParagraph"/>
        <w:numPr>
          <w:ilvl w:val="0"/>
          <w:numId w:val="3"/>
        </w:numPr>
        <w:spacing w:after="80"/>
      </w:pPr>
      <w:r>
        <w:rPr>
          <w:rFonts w:ascii="Calibri" w:cs="Calibri" w:eastAsia="Calibri" w:hAnsi="Calibri"/>
          <w:sz w:val="22"/>
          <w:szCs w:val="22"/>
        </w:rPr>
        <w:t xml:space="preserve">A rule to clear holding-area contents older than a set number of days.</w:t>
      </w:r>
    </w:p>
    <w:p>
      <w:pPr>
        <w:pStyle w:val="ListParagraph"/>
        <w:numPr>
          <w:ilvl w:val="0"/>
          <w:numId w:val="3"/>
        </w:numPr>
        <w:spacing w:after="80"/>
      </w:pPr>
      <w:r>
        <w:rPr>
          <w:rFonts w:ascii="Calibri" w:cs="Calibri" w:eastAsia="Calibri" w:hAnsi="Calibri"/>
          <w:sz w:val="22"/>
          <w:szCs w:val="22"/>
        </w:rPr>
        <w:t xml:space="preserve">Single sign-on registration for the service, with group membership passed through.</w:t>
      </w:r>
    </w:p>
    <w:p>
      <w:pPr>
        <w:pStyle w:val="ListParagraph"/>
        <w:numPr>
          <w:ilvl w:val="0"/>
          <w:numId w:val="3"/>
        </w:numPr>
        <w:spacing w:after="80"/>
      </w:pPr>
      <w:r>
        <w:rPr>
          <w:rFonts w:ascii="Calibri" w:cs="Calibri" w:eastAsia="Calibri" w:hAnsi="Calibri"/>
          <w:sz w:val="22"/>
          <w:szCs w:val="22"/>
        </w:rPr>
        <w:t xml:space="preserve">Guidance on maximum object sizes and any cluster-side limits.</w:t>
      </w:r>
    </w:p>
    <w:p>
      <w:pPr>
        <w:pStyle w:val="ListParagraph"/>
        <w:numPr>
          <w:ilvl w:val="0"/>
          <w:numId w:val="3"/>
        </w:numPr>
        <w:spacing w:after="80"/>
      </w:pPr>
      <w:r>
        <w:rPr>
          <w:rFonts w:ascii="Calibri" w:cs="Calibri" w:eastAsia="Calibri" w:hAnsi="Calibri"/>
          <w:sz w:val="22"/>
          <w:szCs w:val="22"/>
        </w:rPr>
        <w:t xml:space="preserve">A view on whether and how the VM can be exposed beyond the KCL network for the pilot.</w:t>
      </w:r>
    </w:p>
    <w:p>
      <w:pPr>
        <w:pStyle w:val="ListParagraph"/>
        <w:numPr>
          <w:ilvl w:val="0"/>
          <w:numId w:val="3"/>
        </w:numPr>
        <w:spacing w:after="80"/>
      </w:pPr>
      <w:r>
        <w:rPr>
          <w:rFonts w:ascii="Calibri" w:cs="Calibri" w:eastAsia="Calibri" w:hAnsi="Calibri"/>
          <w:sz w:val="22"/>
          <w:szCs w:val="22"/>
        </w:rPr>
        <w:t xml:space="preserve">Confirmation that containers (Docker or Podman) are acceptable on eResearch OpenStack images.</w:t>
      </w:r>
    </w:p>
    <w:p>
      <w:pPr>
        <w:pStyle w:val="Heading2"/>
        <w:spacing w:after="100" w:before="200"/>
      </w:pPr>
      <w:r>
        <w:rPr>
          <w:rFonts w:ascii="Calibri" w:cs="Calibri" w:eastAsia="Calibri" w:hAnsi="Calibri"/>
        </w:rPr>
        <w:t xml:space="preserve">From centre management</w:t>
      </w:r>
    </w:p>
    <w:p>
      <w:pPr>
        <w:pStyle w:val="ListParagraph"/>
        <w:numPr>
          <w:ilvl w:val="0"/>
          <w:numId w:val="3"/>
        </w:numPr>
        <w:spacing w:after="80"/>
      </w:pPr>
      <w:r>
        <w:rPr>
          <w:rFonts w:ascii="Calibri" w:cs="Calibri" w:eastAsia="Calibri" w:hAnsi="Calibri"/>
          <w:sz w:val="22"/>
          <w:szCs w:val="22"/>
        </w:rPr>
        <w:t xml:space="preserve">Agreement in principle that a web route for deposit is worth piloting.</w:t>
      </w:r>
    </w:p>
    <w:p>
      <w:pPr>
        <w:pStyle w:val="ListParagraph"/>
        <w:numPr>
          <w:ilvl w:val="0"/>
          <w:numId w:val="3"/>
        </w:numPr>
        <w:spacing w:after="80"/>
      </w:pPr>
      <w:r>
        <w:rPr>
          <w:rFonts w:ascii="Calibri" w:cs="Calibri" w:eastAsia="Calibri" w:hAnsi="Calibri"/>
          <w:sz w:val="22"/>
          <w:szCs w:val="22"/>
        </w:rPr>
        <w:t xml:space="preserve">Two or three UoN researchers willing to take part in the pilot.</w:t>
      </w:r>
    </w:p>
    <w:p>
      <w:pPr>
        <w:pStyle w:val="ListParagraph"/>
        <w:numPr>
          <w:ilvl w:val="0"/>
          <w:numId w:val="3"/>
        </w:numPr>
        <w:spacing w:after="80"/>
      </w:pPr>
      <w:r>
        <w:rPr>
          <w:rFonts w:ascii="Calibri" w:cs="Calibri" w:eastAsia="Calibri" w:hAnsi="Calibri"/>
          <w:sz w:val="22"/>
          <w:szCs w:val="22"/>
        </w:rPr>
        <w:t xml:space="preserve">Confirmation that UoN pilot participants can be added to the centre group in the KCL directory.</w:t>
      </w:r>
    </w:p>
    <w:p>
      <w:pPr>
        <w:pStyle w:val="Heading1"/>
        <w:spacing w:after="120" w:before="280"/>
      </w:pPr>
      <w:r>
        <w:rPr>
          <w:rFonts w:ascii="Calibri" w:cs="Calibri" w:eastAsia="Calibri" w:hAnsi="Calibri"/>
        </w:rPr>
        <w:t xml:space="preserve">Decisions requested</w:t>
      </w:r>
    </w:p>
    <w:p>
      <w:pPr>
        <w:pStyle w:val="ListParagraph"/>
        <w:numPr>
          <w:ilvl w:val="0"/>
          <w:numId w:val="4"/>
        </w:numPr>
        <w:spacing w:after="80"/>
      </w:pPr>
      <w:r>
        <w:rPr>
          <w:rFonts w:ascii="Calibri" w:cs="Calibri" w:eastAsia="Calibri" w:hAnsi="Calibri"/>
          <w:sz w:val="22"/>
          <w:szCs w:val="22"/>
        </w:rPr>
        <w:t xml:space="preserve">Approval for KDL to build the proof of concept on the KCL network (no external exposure).</w:t>
      </w:r>
    </w:p>
    <w:p>
      <w:pPr>
        <w:pStyle w:val="ListParagraph"/>
        <w:numPr>
          <w:ilvl w:val="0"/>
          <w:numId w:val="4"/>
        </w:numPr>
        <w:spacing w:after="80"/>
      </w:pPr>
      <w:r>
        <w:rPr>
          <w:rFonts w:ascii="Calibri" w:cs="Calibri" w:eastAsia="Calibri" w:hAnsi="Calibri"/>
          <w:sz w:val="22"/>
          <w:szCs w:val="22"/>
        </w:rPr>
        <w:t xml:space="preserve">Agreement that eResearch will review the design before any external exposure.</w:t>
      </w:r>
    </w:p>
    <w:p>
      <w:pPr>
        <w:pStyle w:val="ListParagraph"/>
        <w:numPr>
          <w:ilvl w:val="0"/>
          <w:numId w:val="4"/>
        </w:numPr>
        <w:spacing w:after="80"/>
      </w:pPr>
      <w:r>
        <w:rPr>
          <w:rFonts w:ascii="Calibri" w:cs="Calibri" w:eastAsia="Calibri" w:hAnsi="Calibri"/>
          <w:sz w:val="22"/>
          <w:szCs w:val="22"/>
        </w:rPr>
        <w:t xml:space="preserve">Agreement in principle to a small UoN pilot, subject to that review.</w:t>
      </w:r>
    </w:p>
    <w:p>
      <w:pPr>
        <w:pStyle w:val="Heading1"/>
        <w:spacing w:after="120" w:before="280"/>
      </w:pPr>
      <w:r>
        <w:rPr>
          <w:rFonts w:ascii="Calibri" w:cs="Calibri" w:eastAsia="Calibri" w:hAnsi="Calibri"/>
        </w:rPr>
        <w:t xml:space="preserve">Document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00"/>
        <w:gridCol w:w="1600"/>
      </w:tblGrid>
      <w:tr>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Change</w:t>
            </w:r>
          </w:p>
        </w:tc>
        <w:tc>
          <w:tcPr>
            <w:tcW w:type="dxa" w:w="0"/>
            <w:tcBorders>
              <w:top w:val="single" w:color="BBBBBB" w:sz="4"/>
              <w:left w:val="single" w:color="BBBBBB" w:sz="4"/>
              <w:bottom w:val="single" w:color="BBBBBB" w:sz="4"/>
              <w:right w:val="single" w:color="BBBBBB" w:sz="4"/>
            </w:tcBorders>
            <w:shd w:fill="E7E6E6" w:color="auto" w:val="clear"/>
            <w:tcMar>
              <w:top w:type="dxa" w:w="60"/>
              <w:left w:type="dxa" w:w="100"/>
              <w:bottom w:type="dxa" w:w="60"/>
              <w:right w:type="dxa" w:w="100"/>
            </w:tcMar>
          </w:tcPr>
          <w:p>
            <w:r>
              <w:rPr>
                <w:rFonts w:ascii="Calibri" w:cs="Calibri" w:eastAsia="Calibri" w:hAnsi="Calibri"/>
                <w:b/>
                <w:bCs/>
                <w:sz w:val="20"/>
                <w:szCs w:val="20"/>
              </w:rPr>
              <w:t xml:space="preserve">By</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0.1</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 Sep 2026</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First draft for discussion</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KDL analyst</w:t>
            </w:r>
          </w:p>
        </w:tc>
      </w:tr>
      <w:tr>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0.2</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18 Sep 2026</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Added container packaging</w:t>
            </w:r>
          </w:p>
        </w:tc>
        <w:tc>
          <w:tcPr>
            <w:tcW w:type="dxa" w:w="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KDL analyst</w:t>
            </w:r>
          </w:p>
        </w:tc>
      </w:tr>
    </w:tbl>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2026-09-18T07:01:37.720Z</dcterms:created>
  <dcterms:modified xsi:type="dcterms:W3CDTF">2026-09-18T07:01:37.728Z</dcterms:modified>
</cp:coreProperties>
</file>

<file path=docProps/custom.xml><?xml version="1.0" encoding="utf-8"?>
<Properties xmlns="http://schemas.openxmlformats.org/officeDocument/2006/custom-properties" xmlns:vt="http://schemas.openxmlformats.org/officeDocument/2006/docPropsVTypes"/>
</file>