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EFF7B">
      <w:pPr>
        <w:pStyle w:val="31"/>
        <w:jc w:val="center"/>
      </w:pPr>
      <w:r>
        <w:t>《全民参保大数据平台大模型“智能问数”架构实施方案》</w:t>
      </w:r>
    </w:p>
    <w:p w14:paraId="1C1E1338">
      <w:r>
        <w:rPr>
          <w:rFonts w:ascii="微软雅黑" w:hAnsi="微软雅黑" w:eastAsia="微软雅黑"/>
        </w:rPr>
        <w:br w:type="textWrapping"/>
      </w:r>
    </w:p>
    <w:p w14:paraId="39C65D11">
      <w:pPr>
        <w:pStyle w:val="3"/>
      </w:pPr>
      <w:r>
        <w:rPr>
          <w:rFonts w:ascii="微软雅黑" w:hAnsi="微软雅黑" w:eastAsia="微软雅黑"/>
        </w:rPr>
        <w:t>一、 建设背景与挑战</w:t>
      </w:r>
    </w:p>
    <w:p w14:paraId="047683DD">
      <w:r>
        <w:rPr>
          <w:rFonts w:ascii="微软雅黑" w:hAnsi="微软雅黑" w:eastAsia="微软雅黑"/>
        </w:rPr>
        <w:t>在省级/市级千万级人口、多险种并行的全面参保大数据业务中，底表数量动辄成百上千，数据量级达十亿、百亿级。传统的 BI（商业智能）和固化驾驶舱面临以下瓶颈：</w:t>
      </w:r>
    </w:p>
    <w:p w14:paraId="5E95C143">
      <w:pPr>
        <w:pStyle w:val="16"/>
      </w:pPr>
      <w:r>
        <w:t>1. 数据开发周期长：业务部门临时想看一个指标，需要向 IT 部门提需求、排期、建表、开发报表，流转可能长达数周。</w:t>
      </w:r>
    </w:p>
    <w:p w14:paraId="101BFA7F">
      <w:pPr>
        <w:pStyle w:val="16"/>
      </w:pPr>
      <w:r>
        <w:t>2. 大库被慢查询拖垮的风险：直接开放底层数据查询，复杂的 JOIN 极易引发全表扫描，甚至导致生产库宕机。</w:t>
      </w:r>
    </w:p>
    <w:p w14:paraId="00B649EC">
      <w:pPr>
        <w:pStyle w:val="16"/>
      </w:pPr>
      <w:r>
        <w:t>3. 指标口径黑盒化：多个部门定义同一指标会出现“同名不同义”的数据打架现象。</w:t>
      </w:r>
    </w:p>
    <w:p w14:paraId="642DD471">
      <w:r>
        <w:rPr>
          <w:rFonts w:ascii="微软雅黑" w:hAnsi="微软雅黑" w:eastAsia="微软雅黑"/>
        </w:rPr>
        <w:t>因此，传统的直接基于大模型生成原生 SQL (NL2SQL) 方案存在高风险（查库宕机）与不准确（幻觉频发、口径算错）两个致命弱点。我们需要构建基于“语义大脑”的大模型可控数据问答体系 (Text-to-Metrics)。</w:t>
      </w:r>
    </w:p>
    <w:p w14:paraId="6A0DCD78">
      <w:pPr>
        <w:pStyle w:val="3"/>
      </w:pPr>
      <w:r>
        <w:rPr>
          <w:rFonts w:ascii="微软雅黑" w:hAnsi="微软雅黑" w:eastAsia="微软雅黑"/>
        </w:rPr>
        <w:t>二、 平台核心架构设计（“三层一中心”架构）</w:t>
      </w:r>
    </w:p>
    <w:p w14:paraId="091BD20B">
      <w:r>
        <w:rPr>
          <w:rFonts w:ascii="微软雅黑" w:hAnsi="微软雅黑" w:eastAsia="微软雅黑"/>
        </w:rPr>
        <w:t>我们设计的企业级智能问数架构由下至上分为三层：</w:t>
      </w:r>
    </w:p>
    <w:p w14:paraId="434C0661">
      <w:pPr>
        <w:pStyle w:val="4"/>
      </w:pPr>
      <w:r>
        <w:rPr>
          <w:rFonts w:ascii="微软雅黑" w:hAnsi="微软雅黑" w:eastAsia="微软雅黑"/>
        </w:rPr>
        <w:t>1. 底层：湖仓一体 / 高性能 OLAP 分析层（计算底座）</w:t>
      </w:r>
    </w:p>
    <w:p w14:paraId="1BBC6CA1">
      <w:r>
        <w:rPr>
          <w:rFonts w:ascii="微软雅黑" w:hAnsi="微软雅黑" w:eastAsia="微软雅黑"/>
        </w:rPr>
        <w:t>组件建议：使用 ClickHouse、Doris 等高性能分析型数据库（MPP 架构）。</w:t>
      </w:r>
    </w:p>
    <w:p w14:paraId="71ADDD34">
      <w:r>
        <w:rPr>
          <w:rFonts w:ascii="微软雅黑" w:hAnsi="微软雅黑" w:eastAsia="微软雅黑"/>
        </w:rPr>
        <w:t>能力：承载来自语义层的分钟级、秒级海量宽表探查请求，不再执行跨多张十亿级明细表的复杂 JOIN。</w:t>
      </w:r>
    </w:p>
    <w:p w14:paraId="4904088C">
      <w:pPr>
        <w:pStyle w:val="4"/>
      </w:pPr>
      <w:r>
        <w:rPr>
          <w:rFonts w:ascii="微软雅黑" w:hAnsi="微软雅黑" w:eastAsia="微软雅黑"/>
        </w:rPr>
        <w:t>2. 中层：统一语义与指标管理中心（Headless Metrics Store）</w:t>
      </w:r>
    </w:p>
    <w:p w14:paraId="40B7A299">
      <w:r>
        <w:rPr>
          <w:rFonts w:ascii="微软雅黑" w:hAnsi="微软雅黑" w:eastAsia="微软雅黑"/>
        </w:rPr>
        <w:t>组件建议：Cube.js, 阿里 DataWorks 数据服务等。</w:t>
      </w:r>
    </w:p>
    <w:p w14:paraId="18391F5D">
      <w:r>
        <w:rPr>
          <w:rFonts w:ascii="微软雅黑" w:hAnsi="微软雅黑" w:eastAsia="微软雅黑"/>
        </w:rPr>
        <w:t>核心逻辑：所有的数据不以原生的 “表 (Table)” 暴露，而是由数据工程师沉淀为高度抽象的“指标体系（Metrics/Measures）”与“分析维度（Dimensions）”。</w:t>
      </w:r>
    </w:p>
    <w:p w14:paraId="38EA0B73">
      <w:r>
        <w:rPr>
          <w:rFonts w:ascii="微软雅黑" w:hAnsi="微软雅黑" w:eastAsia="微软雅黑"/>
        </w:rPr>
        <w:t>价值：这是防范 AI 幻觉的“防火墙”。底层计算公式锁死在这一层，AI 无法篡改业务逻辑规则。</w:t>
      </w:r>
    </w:p>
    <w:p w14:paraId="30F56F2D">
      <w:pPr>
        <w:pStyle w:val="4"/>
      </w:pPr>
      <w:r>
        <w:rPr>
          <w:rFonts w:ascii="微软雅黑" w:hAnsi="微软雅黑" w:eastAsia="微软雅黑"/>
        </w:rPr>
        <w:t>3. 顶层：Agent 智能问数助手引擎层 (Text-to-Metrics)</w:t>
      </w:r>
    </w:p>
    <w:p w14:paraId="65F45843">
      <w:pPr>
        <w:pStyle w:val="16"/>
      </w:pPr>
      <w:r>
        <w:t>意图识别与参数提取：大模型理解用户想要查询哪个宏观【指标】，想要附带什么【过滤条件】和【时间范围】。</w:t>
      </w:r>
    </w:p>
    <w:p w14:paraId="3B9137A4">
      <w:pPr>
        <w:pStyle w:val="16"/>
      </w:pPr>
      <w:r>
        <w:t>动态 API/DSL 生成：将结构化的意图转换成请求语义核心的标准 DSL (JSON 或 GraphQL)，例如 POST /api/metrics，而不是 SELECT * FROM xxx。</w:t>
      </w:r>
    </w:p>
    <w:p w14:paraId="3832D8DE">
      <w:pPr>
        <w:pStyle w:val="16"/>
      </w:pPr>
      <w:r>
        <w:t>大语言反向翻译器：将语义引擎返回的数据集，融合业务常识生成图文并茂的分析答案。</w:t>
      </w:r>
    </w:p>
    <w:p w14:paraId="1EAB68FD">
      <w:pPr>
        <w:pStyle w:val="4"/>
      </w:pPr>
      <w:r>
        <w:rPr>
          <w:rFonts w:ascii="微软雅黑" w:hAnsi="微软雅黑" w:eastAsia="微软雅黑"/>
        </w:rPr>
        <w:t>【Text-to-Metrics 架构原理图】</w:t>
      </w:r>
    </w:p>
    <w:p w14:paraId="34D86FAF">
      <w:pPr>
        <w:jc w:val="center"/>
      </w:pP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[用户提问] "今年南岸区新增了多少参保人？"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▼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┌───────────────────────────────────────┐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Agent 智能问数助手引擎层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1. 意图识别 (Identify Intent)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2. 实体抽取 (时间:今年, 地区:南岸区)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3. DSL 生成 (构建标准 JSON 查询参数)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└───────────────────────────────────────┘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▼ (请求: {"metric": "new_insured", "dim": "district"...})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┌───────────────────────────────────────┐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统一语义与指标管理中心 (中间层)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拦截大模型原始 SQL，翻译为受控执行计划│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(固化业务口径：新增=入保-退保)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└───────────────────────────────────────┘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▼ (转换后极其高效的单表聚合 SQL)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┌───────────────────────────────────────┐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OLAP 计算底座 (ClickHouse / Doris)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海量宽表极速计算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└───────────────────────────────────────┘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│ 后端返回 JSON 数据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▼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[大模型组装回答 + 动态图表渲染 (ECharts)]</w:t>
      </w:r>
      <w:r>
        <w:rPr>
          <w:rFonts w:ascii="Consolas" w:hAnsi="Consolas"/>
          <w:sz w:val="20"/>
        </w:rPr>
        <w:br w:type="textWrapping"/>
      </w:r>
    </w:p>
    <w:p w14:paraId="1AF39823">
      <w:pPr>
        <w:pStyle w:val="3"/>
      </w:pPr>
      <w:r>
        <w:rPr>
          <w:rFonts w:ascii="微软雅黑" w:hAnsi="微软雅黑" w:eastAsia="微软雅黑"/>
        </w:rPr>
        <w:t>三、 用户全流程交互链路</w:t>
      </w:r>
    </w:p>
    <w:p w14:paraId="2F3F8B0A">
      <w:pPr>
        <w:pStyle w:val="14"/>
      </w:pPr>
      <w:r>
        <w:t>输入意图：业务领导提问“帮我查一下，今年九龙坡各个街道的中小学生参保缺口率是多少？”</w:t>
      </w:r>
    </w:p>
    <w:p w14:paraId="446C6FF5">
      <w:pPr>
        <w:pStyle w:val="14"/>
      </w:pPr>
      <w:r>
        <w:t>LLM 解析（不再查表）：大模型根据 RAG 匹配到指标 student_gap_rate，下钻维度 street_name，条件 year=2024。</w:t>
      </w:r>
    </w:p>
    <w:p w14:paraId="59176AD8">
      <w:pPr>
        <w:pStyle w:val="14"/>
      </w:pPr>
      <w:r>
        <w:t>安全查询：后端利用定义好的 Cube 视图拼盘执行高性能单表聚合。</w:t>
      </w:r>
    </w:p>
    <w:p w14:paraId="2CE0D34B">
      <w:pPr>
        <w:pStyle w:val="14"/>
      </w:pPr>
      <w:r>
        <w:t>Agent 图表推断组装：返回数据后，AI 分析发现包含地区横向排比，智能决定调度可视化组件库。</w:t>
      </w:r>
    </w:p>
    <w:p w14:paraId="155E59E6">
      <w:pPr>
        <w:pStyle w:val="14"/>
      </w:pPr>
      <w:bookmarkStart w:id="0" w:name="_GoBack"/>
      <w:bookmarkEnd w:id="0"/>
      <w:r>
        <w:t>多模态输出反馈：AI 生成带文字解析和横向柱状图的复盘答案。</w:t>
      </w:r>
    </w:p>
    <w:p w14:paraId="77698E42">
      <w:pPr>
        <w:pStyle w:val="4"/>
      </w:pPr>
      <w:r>
        <w:rPr>
          <w:rFonts w:ascii="微软雅黑" w:hAnsi="微软雅黑" w:eastAsia="微软雅黑"/>
        </w:rPr>
        <w:t>【用户交互时序图】</w:t>
      </w:r>
    </w:p>
    <w:p w14:paraId="3B4D5EFC">
      <w:pPr>
        <w:jc w:val="center"/>
      </w:pP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用户(领导)       大模型(Agent)        语义中心(API)       底层数据库(OLAP)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                   │                   │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 1. 语音/文字提问   │                   │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│──────────────────►│                   │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                   │ 2. 解析意图构建DSL│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                   │──────────────────►│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                   │                   │ 3. 翻译为安全SQL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                   │                   │──────────────────►│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                   │                   │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                   │                   │ 4. 返回计算结果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                   │                   │◄──────────────────│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                   │ 5. 返回JSON数据   │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                   │◄──────────────────│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 6. 生成图文并茂回答│                   │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│◄──────────────────│                   │                   │</w:t>
      </w:r>
      <w:r>
        <w:rPr>
          <w:rFonts w:ascii="Consolas" w:hAnsi="Consolas"/>
          <w:sz w:val="20"/>
        </w:rPr>
        <w:br w:type="textWrapping"/>
      </w:r>
    </w:p>
    <w:p w14:paraId="5DC23165">
      <w:pPr>
        <w:pStyle w:val="3"/>
      </w:pPr>
      <w:r>
        <w:rPr>
          <w:rFonts w:ascii="微软雅黑" w:hAnsi="微软雅黑" w:eastAsia="微软雅黑"/>
        </w:rPr>
        <w:t>四、 核心优势分析</w:t>
      </w:r>
    </w:p>
    <w:p w14:paraId="401DA2EC">
      <w:pPr>
        <w:pStyle w:val="16"/>
      </w:pPr>
      <w:r>
        <w:t>1. 零危害，绝对的大库安全护城河：大模型接触不到表和字段字典，只能接触指标字典，切断了 AI 卡死数据库的可能。</w:t>
      </w:r>
    </w:p>
    <w:p w14:paraId="0DFDA98D">
      <w:pPr>
        <w:pStyle w:val="16"/>
      </w:pPr>
      <w:r>
        <w:t>2. 极高的准确率与 0% 幻觉偏差：指标定义被数据架构师固化，极大降低了大模型理解复杂 SQL Join 的心智负担。</w:t>
      </w:r>
    </w:p>
    <w:p w14:paraId="3F1C0F08">
      <w:pPr>
        <w:pStyle w:val="16"/>
      </w:pPr>
      <w:r>
        <w:t>3. 极简的可扩展性与冷启动：新增数据主题只需在语义中心上架新指标，AI 立刻能回答相关问题，无需二次微调（Fine-tune）。</w:t>
      </w:r>
    </w:p>
    <w:p w14:paraId="30D88AA0">
      <w:pPr>
        <w:pStyle w:val="3"/>
      </w:pPr>
      <w:r>
        <w:rPr>
          <w:rFonts w:ascii="微软雅黑" w:hAnsi="微软雅黑" w:eastAsia="微软雅黑"/>
        </w:rPr>
        <w:t>五、 项目实施路径与周期建议</w:t>
      </w:r>
    </w:p>
    <w:p w14:paraId="7E35A7FF">
      <w:pPr>
        <w:pStyle w:val="16"/>
      </w:pPr>
      <w:r>
        <w:t>Phase 1：试点与 MVP（1~2个月）</w:t>
      </w:r>
    </w:p>
    <w:p w14:paraId="4BE4BDCC">
      <w:r>
        <w:rPr>
          <w:rFonts w:ascii="微软雅黑" w:hAnsi="微软雅黑" w:eastAsia="微软雅黑"/>
        </w:rPr>
        <w:t xml:space="preserve">    挑选 20-30 个最高频核心宏观指标。基于 RAG 框架搭配国内头部大语言模型 API，编写极简语义映射词典验证闭环。</w:t>
      </w:r>
    </w:p>
    <w:p w14:paraId="74A0AA31">
      <w:pPr>
        <w:pStyle w:val="16"/>
      </w:pPr>
      <w:r>
        <w:t>Phase 2：核心能力建设阶段（3~6个月）</w:t>
      </w:r>
    </w:p>
    <w:p w14:paraId="4213D31D">
      <w:r>
        <w:rPr>
          <w:rFonts w:ascii="微软雅黑" w:hAnsi="微软雅黑" w:eastAsia="微软雅黑"/>
        </w:rPr>
        <w:t xml:space="preserve">    建设统一的、可复用的政务指标逻辑底座。深度融合大模型与权限审批体系（如拦截越权数据查询）。</w:t>
      </w:r>
    </w:p>
    <w:p w14:paraId="74F72D5A">
      <w:pPr>
        <w:pStyle w:val="16"/>
      </w:pPr>
      <w:r>
        <w:t>Phase 3：智能化全域铺开阶段</w:t>
      </w:r>
    </w:p>
    <w:p w14:paraId="5F24BA5D">
      <w:r>
        <w:rPr>
          <w:rFonts w:ascii="微软雅黑" w:hAnsi="微软雅黑" w:eastAsia="微软雅黑"/>
        </w:rPr>
        <w:t xml:space="preserve">    衍生能力：挖掘复杂下钻分析（如“为什么 A 街道参保慢？”），智能调度多底层工具生成季报与汇报 PPT。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F3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畅享-郭劲军</cp:lastModifiedBy>
  <dcterms:modified xsi:type="dcterms:W3CDTF">2026-03-04T20:59:26Z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2416FC7DE7C7329CAE2CA869F7FB63C4_42</vt:lpwstr>
  </property>
</Properties>
</file>