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双规格密封保鲜盒选品研究报告</w:t>
      </w:r>
    </w:p>
    <w:p>
      <w:r>
        <w:t>本商品所有评论与规则均为 synthetic 合成演示数据，只能称为样例核验清单，不代表真实法规、市场要求或真实消费者反馈。500ml 与 1L 的密封测试条件不同（冷水桌面静置 vs 热汤背包倾斜），无法证明规格本身导致密封差异。合成核验清单提示需区分规格、液体温度与倾斜条件进行对比。</w:t>
      </w:r>
    </w:p>
    <w:p>
      <w:r>
        <w:t>本报告依据当前冻结资料研究选品条件。合成样例仅用于演示；未覆盖的销量、竞品与真实规则需要补充核验。</w:t>
      </w:r>
    </w:p>
    <w:p>
      <w:pPr>
        <w:pStyle w:val="Heading1"/>
      </w:pPr>
      <w:r>
        <w:t>研究声明与限制</w:t>
      </w:r>
    </w:p>
    <w:p>
      <w:pPr>
        <w:pStyle w:val="Heading2"/>
      </w:pPr>
      <w:r>
        <w:t>声明 1</w:t>
      </w:r>
    </w:p>
    <w:p>
      <w:r>
        <w:t>【合成数据】500ml 样例评论称冷水桌面静置无渗漏（5星），1L 样例评论称热汤背包倾斜后盒盖边缘漏水（2星），两者使用条件明显不同，无法归因于规格。</w:t>
      </w:r>
    </w:p>
    <w:p>
      <w:r>
        <w:t>引用：ev-review-demo-v5-c1；ev-review-demo-v5-c2</w:t>
      </w:r>
    </w:p>
    <w:p>
      <w:r>
        <w:t>限制：data_kind 为 synthetic，非真实消费者反馈；样本仅各1条，不具备统计意义；测试条件（液体温度、倾斜角度、容器状态）均不一致</w:t>
      </w:r>
    </w:p>
    <w:p>
      <w:pPr>
        <w:pStyle w:val="Heading2"/>
      </w:pPr>
      <w:r>
        <w:t>声明 2</w:t>
      </w:r>
    </w:p>
    <w:p>
      <w:r>
        <w:t>【合成数据】样例核验清单明确指出：两个不同使用条件的样例不能证明规格导致密封差异，需区分规格、液体温度和倾斜条件。</w:t>
      </w:r>
    </w:p>
    <w:p>
      <w:r>
        <w:t>引用：ev-rule-demo-v5-seal</w:t>
      </w:r>
    </w:p>
    <w:p>
      <w:r>
        <w:t>限制：data_kind 为 synthetic，非真实法规；仅为演示性核验清单</w:t>
      </w:r>
    </w:p>
    <w:p>
      <w:pPr>
        <w:pStyle w:val="Heading2"/>
      </w:pPr>
      <w:r>
        <w:t>声明 3</w:t>
      </w:r>
    </w:p>
    <w:p>
      <w:r>
        <w:t>【合成数据】样例核验清单提示：若页面使用防漏或密封表述，应保存与具体使用条件对应的测试证据，避免将有限条件下的结果描述为无条件保证。</w:t>
      </w:r>
    </w:p>
    <w:p>
      <w:r>
        <w:t>引用：ev-rule-us-cn-food-002</w:t>
      </w:r>
    </w:p>
    <w:p>
      <w:r>
        <w:t>限制：data_kind 为 synthetic，非真实法规要求；仅适用于页面文案核验场景</w:t>
      </w:r>
    </w:p>
    <w:p>
      <w:pPr>
        <w:pStyle w:val="Heading1"/>
      </w:pPr>
      <w:r>
        <w:t>单件贡献利润情景</w:t>
      </w:r>
    </w:p>
    <w:p>
      <w:r>
        <w:t>币种：USD。金额仅适用于所列成本假设。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381"/>
        <w:gridCol w:w="2381"/>
        <w:gridCol w:w="2835"/>
      </w:tblGrid>
      <w:tr>
        <w:trPr>
          <w:tblHeader/>
        </w:trPr>
        <w:tc>
          <w:tcPr>
            <w:tcW w:type="dxa" w:w="2353"/>
            <w:shd w:fill="E8E8E8"/>
          </w:tcPr>
          <w:p>
            <w:r>
              <w:t>情景</w:t>
            </w:r>
          </w:p>
        </w:tc>
        <w:tc>
          <w:tcPr>
            <w:tcW w:type="dxa" w:w="2353"/>
            <w:shd w:fill="E8E8E8"/>
          </w:tcPr>
          <w:p>
            <w:r>
              <w:t>收入</w:t>
            </w:r>
          </w:p>
        </w:tc>
        <w:tc>
          <w:tcPr>
            <w:tcW w:type="dxa" w:w="2353"/>
            <w:shd w:fill="E8E8E8"/>
          </w:tcPr>
          <w:p>
            <w:r>
              <w:t>成本</w:t>
            </w:r>
          </w:p>
        </w:tc>
        <w:tc>
          <w:tcPr>
            <w:tcW w:type="dxa" w:w="2353"/>
            <w:shd w:fill="E8E8E8"/>
          </w:tcPr>
          <w:p>
            <w:r>
              <w:t>贡献利润</w:t>
            </w:r>
          </w:p>
        </w:tc>
      </w:tr>
      <w:tr>
        <w:tc>
          <w:tcPr>
            <w:tcW w:type="dxa" w:w="1814"/>
          </w:tcPr>
          <w:p>
            <w:r>
              <w:t>保守</w:t>
            </w:r>
          </w:p>
        </w:tc>
        <w:tc>
          <w:tcPr>
            <w:tcW w:type="dxa" w:w="2381"/>
          </w:tcPr>
          <w:p>
            <w:r>
              <w:t>22.50</w:t>
            </w:r>
          </w:p>
        </w:tc>
        <w:tc>
          <w:tcPr>
            <w:tcW w:type="dxa" w:w="2381"/>
          </w:tcPr>
          <w:p>
            <w:r>
              <w:t>17.35</w:t>
            </w:r>
          </w:p>
        </w:tc>
        <w:tc>
          <w:tcPr>
            <w:tcW w:type="dxa" w:w="2835"/>
          </w:tcPr>
          <w:p>
            <w:r>
              <w:t>5.15</w:t>
            </w:r>
          </w:p>
        </w:tc>
      </w:tr>
      <w:tr>
        <w:tc>
          <w:tcPr>
            <w:tcW w:type="dxa" w:w="1814"/>
          </w:tcPr>
          <w:p>
            <w:r>
              <w:t>基准</w:t>
            </w:r>
          </w:p>
        </w:tc>
        <w:tc>
          <w:tcPr>
            <w:tcW w:type="dxa" w:w="2381"/>
          </w:tcPr>
          <w:p>
            <w:r>
              <w:t>25.00</w:t>
            </w:r>
          </w:p>
        </w:tc>
        <w:tc>
          <w:tcPr>
            <w:tcW w:type="dxa" w:w="2381"/>
          </w:tcPr>
          <w:p>
            <w:r>
              <w:t>17.75</w:t>
            </w:r>
          </w:p>
        </w:tc>
        <w:tc>
          <w:tcPr>
            <w:tcW w:type="dxa" w:w="2835"/>
          </w:tcPr>
          <w:p>
            <w:r>
              <w:t>7.25</w:t>
            </w:r>
          </w:p>
        </w:tc>
      </w:tr>
      <w:tr>
        <w:tc>
          <w:tcPr>
            <w:tcW w:type="dxa" w:w="1814"/>
          </w:tcPr>
          <w:p>
            <w:r>
              <w:t>乐观</w:t>
            </w:r>
          </w:p>
        </w:tc>
        <w:tc>
          <w:tcPr>
            <w:tcW w:type="dxa" w:w="2381"/>
          </w:tcPr>
          <w:p>
            <w:r>
              <w:t>27.50</w:t>
            </w:r>
          </w:p>
        </w:tc>
        <w:tc>
          <w:tcPr>
            <w:tcW w:type="dxa" w:w="2381"/>
          </w:tcPr>
          <w:p>
            <w:r>
              <w:t>18.15</w:t>
            </w:r>
          </w:p>
        </w:tc>
        <w:tc>
          <w:tcPr>
            <w:tcW w:type="dxa" w:w="2835"/>
          </w:tcPr>
          <w:p>
            <w:r>
              <w:t>9.35</w:t>
            </w:r>
          </w:p>
        </w:tc>
      </w:tr>
    </w:tbl>
    <w:p>
      <w:r>
        <w:t>平台费和佣金以当前场景售价为基数。</w:t>
      </w:r>
    </w:p>
    <w:p>
      <w:r>
        <w:t>return_loss 是每售出一件分摊的退款退货净损失；不再重复扣减销售收入。</w:t>
      </w:r>
    </w:p>
    <w:p>
      <w:r>
        <w:t>税费或其他成本须包含在 other 中；本结果不等于会计净利润。</w:t>
      </w:r>
    </w:p>
    <w:p>
      <w:pPr>
        <w:pStyle w:val="Heading2"/>
      </w:pPr>
      <w:r>
        <w:t>成本输入与来源</w:t>
      </w:r>
    </w:p>
    <w:p>
      <w:r>
        <w:t>currency：USD</w:t>
      </w:r>
    </w:p>
    <w:p>
      <w:r>
        <w:t>source：第二期演示假设，不是真实采购报价</w:t>
      </w:r>
    </w:p>
    <w:p>
      <w:r>
        <w:t>observed_on：2026-10-21</w:t>
      </w:r>
    </w:p>
    <w:p>
      <w:r>
        <w:t>assumed：True</w:t>
      </w:r>
    </w:p>
    <w:p>
      <w:r>
        <w:t>sale_price：25.00</w:t>
      </w:r>
    </w:p>
    <w:p>
      <w:r>
        <w:t>procurement：6.00</w:t>
      </w:r>
    </w:p>
    <w:p>
      <w:r>
        <w:t>shipping：4.00</w:t>
      </w:r>
    </w:p>
    <w:p>
      <w:r>
        <w:t>packaging：0.50</w:t>
      </w:r>
    </w:p>
    <w:p>
      <w:r>
        <w:t>platform_rate：0.06</w:t>
      </w:r>
    </w:p>
    <w:p>
      <w:r>
        <w:t>commission_rate：0.10</w:t>
      </w:r>
    </w:p>
    <w:p>
      <w:r>
        <w:t>advertising：2.00</w:t>
      </w:r>
    </w:p>
    <w:p>
      <w:r>
        <w:t>return_loss：0.75</w:t>
      </w:r>
    </w:p>
    <w:p>
      <w:r>
        <w:t>other：0.50</w:t>
      </w:r>
    </w:p>
    <w:p>
      <w:pPr>
        <w:pStyle w:val="Heading1"/>
      </w:pPr>
      <w:r>
        <w:t>缺失数据与下一步</w:t>
      </w:r>
    </w:p>
    <w:p>
      <w:pPr>
        <w:pStyle w:val="ListBullet"/>
      </w:pPr>
      <w:r>
        <w:t>无真实消费者评论可供分析</w:t>
      </w:r>
    </w:p>
    <w:p>
      <w:pPr>
        <w:pStyle w:val="ListBullet"/>
      </w:pPr>
      <w:r>
        <w:t>无真实市场法规或合规要求</w:t>
      </w:r>
    </w:p>
    <w:p>
      <w:pPr>
        <w:pStyle w:val="ListBullet"/>
      </w:pPr>
      <w:r>
        <w:t>无对照实验（同条件下500ml与1L的密封对比）</w:t>
      </w:r>
    </w:p>
    <w:p>
      <w:pPr>
        <w:pStyle w:val="ListBullet"/>
      </w:pPr>
      <w:r>
        <w:t>无材质、盖子结构等规格差异证据</w:t>
      </w:r>
    </w:p>
    <w:p>
      <w:pPr>
        <w:pStyle w:val="ListBullet"/>
      </w:pPr>
      <w:r>
        <w:t>需获取真实评论数据后方可进行规格差异分析</w:t>
      </w:r>
    </w:p>
    <w:p>
      <w:pPr>
        <w:pStyle w:val="ListBullet"/>
      </w:pPr>
      <w:r>
        <w:t>若需验证密封差异，应在相同条件下（同温度、同倾斜角度）对两规格进行对照测试</w:t>
      </w:r>
    </w:p>
    <w:p>
      <w:pPr>
        <w:pStyle w:val="ListBullet"/>
      </w:pPr>
      <w:r>
        <w:t>核查页面文案是否存在无条件防漏保证表述</w:t>
      </w:r>
    </w:p>
    <w:p>
      <w:pPr>
        <w:pStyle w:val="Heading1"/>
      </w:pPr>
      <w:r>
        <w:t>引用证据原文</w:t>
      </w:r>
    </w:p>
    <w:p>
      <w:pPr>
        <w:pStyle w:val="Heading2"/>
      </w:pPr>
      <w:r>
        <w:t>ev-review-demo-v5-c1</w:t>
      </w:r>
    </w:p>
    <w:p>
      <w:r>
        <w:t>合成演示评论：500ml 小号装冷水静置时没有渗漏，仅在桌面测试。</w:t>
      </w:r>
    </w:p>
    <w:p>
      <w:r>
        <w:t>版本：import-v1</w:t>
        <w:br/>
        <w:t>来源：未提供</w:t>
      </w:r>
    </w:p>
    <w:p>
      <w:pPr>
        <w:pStyle w:val="Heading2"/>
      </w:pPr>
      <w:r>
        <w:t>ev-review-demo-v5-c2</w:t>
      </w:r>
    </w:p>
    <w:p>
      <w:r>
        <w:t>合成演示评论：1L 大号装汤后在背包内倾斜，盒盖边缘漏水。与小号使用条件不同。</w:t>
      </w:r>
    </w:p>
    <w:p>
      <w:r>
        <w:t>版本：import-v1</w:t>
        <w:br/>
        <w:t>来源：未提供</w:t>
      </w:r>
    </w:p>
    <w:p>
      <w:pPr>
        <w:pStyle w:val="Heading2"/>
      </w:pPr>
      <w:r>
        <w:t>ev-rule-demo-v5-seal</w:t>
      </w:r>
    </w:p>
    <w:p>
      <w:r>
        <w:t>合成核验清单：密封表现需区分规格、液体温度和倾斜条件；两个不同条件的样例不能证明规格造成差异。</w:t>
      </w:r>
    </w:p>
    <w:p>
      <w:r>
        <w:t>版本：demo-v5</w:t>
        <w:br/>
        <w:t>来源：未提供</w:t>
      </w:r>
    </w:p>
    <w:p>
      <w:pPr>
        <w:pStyle w:val="Heading2"/>
      </w:pPr>
      <w:r>
        <w:t>ev-rule-us-cn-food-002</w:t>
      </w:r>
    </w:p>
    <w:p>
      <w:r>
        <w:t>合成示例：如页面使用防漏、密封等表述，应保存与具体使用条件对应的测试或供应商证据，并避免将有限条件下的结果描述为无条件保证。</w:t>
      </w:r>
    </w:p>
    <w:p>
      <w:r>
        <w:t>版本：sample-v2</w:t>
        <w:br/>
        <w:t>来源：https://example.invalid/rules/us-cn-food-002</w:t>
      </w:r>
    </w:p>
    <w:p>
      <w:pPr>
        <w:pStyle w:val="Heading1"/>
      </w:pPr>
      <w:r>
        <w:t>分析版本</w:t>
      </w:r>
    </w:p>
    <w:p>
      <w:r>
        <w:t>运行编号：c811bd44-1fed-40ee-ad81-34e8b9104ec1</w:t>
      </w:r>
    </w:p>
    <w:p>
      <w:r>
        <w:t>报告摘要：5d22d686878c5bd20d7eed36006dd31a00c4fa9fa9bcbccdd1785b5c55a2a74d</w:t>
      </w:r>
    </w:p>
    <w:p>
      <w:r>
        <w:t>数据快照：7256276df73cfa1183e25c4a74c3533742f4a9b0bbb20b00be03689e71ad342a</w:t>
      </w:r>
    </w:p>
    <w:p>
      <w:r>
        <w:t>模板版本：report-docx-v1</w:t>
      </w:r>
    </w:p>
    <w:p>
      <w:r>
        <w:t>模型：qwen3.7-plus</w:t>
      </w:r>
    </w:p>
    <w:p>
      <w:r>
        <w:t>提示词：research-v4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双规格密封保鲜盒选品研究报告</dc:title>
  <dc:subject/>
  <dc:creator>选品研究工作台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