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桌面抽屉收纳盒选品研究报告</w:t>
      </w:r>
    </w:p>
    <w:p>
      <w:r>
        <w:t>已读取 2 条当前商品评论；应结合规则、成本和真实市场数据复核。</w:t>
      </w:r>
    </w:p>
    <w:p>
      <w:r>
        <w:t>本报告依据当前冻结资料研究选品条件。合成样例仅用于演示；未覆盖的销量、竞品与真实规则需要补充核验。</w:t>
      </w:r>
    </w:p>
    <w:p>
      <w:pPr>
        <w:pStyle w:val="Heading1"/>
      </w:pPr>
      <w:r>
        <w:t>研究声明与限制</w:t>
      </w:r>
    </w:p>
    <w:p>
      <w:pPr>
        <w:pStyle w:val="Heading2"/>
      </w:pPr>
      <w:r>
        <w:t>声明 1</w:t>
      </w:r>
    </w:p>
    <w:p>
      <w:r>
        <w:t>合成演示评论：抽屉推拉顺畅，桌面小物更容易分类，但放不下长尺。</w:t>
      </w:r>
    </w:p>
    <w:p>
      <w:r>
        <w:t>引用：ev-review-demo-v5-n1</w:t>
      </w:r>
    </w:p>
    <w:p>
      <w:r>
        <w:t>限制：原文摘录，仅代表本条样本。</w:t>
      </w:r>
    </w:p>
    <w:p>
      <w:pPr>
        <w:pStyle w:val="Heading2"/>
      </w:pPr>
      <w:r>
        <w:t>声明 2</w:t>
      </w:r>
    </w:p>
    <w:p>
      <w:r>
        <w:t>合成演示评论：米白颜色与页面接近，底部防滑垫容易脱落。</w:t>
      </w:r>
    </w:p>
    <w:p>
      <w:r>
        <w:t>引用：ev-review-demo-v5-n2</w:t>
      </w:r>
    </w:p>
    <w:p>
      <w:r>
        <w:t>限制：原文摘录，仅代表本条样本。</w:t>
      </w:r>
    </w:p>
    <w:p>
      <w:pPr>
        <w:pStyle w:val="Heading1"/>
      </w:pPr>
      <w:r>
        <w:t>单件贡献利润情景</w:t>
      </w:r>
    </w:p>
    <w:p>
      <w:r>
        <w:t>币种：USD。金额仅适用于所列成本假设。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2381"/>
        <w:gridCol w:w="2835"/>
      </w:tblGrid>
      <w:tr>
        <w:trPr>
          <w:tblHeader/>
        </w:trPr>
        <w:tc>
          <w:tcPr>
            <w:tcW w:type="dxa" w:w="2353"/>
            <w:shd w:fill="E8E8E8"/>
          </w:tcPr>
          <w:p>
            <w:r>
              <w:t>情景</w:t>
            </w:r>
          </w:p>
        </w:tc>
        <w:tc>
          <w:tcPr>
            <w:tcW w:type="dxa" w:w="2353"/>
            <w:shd w:fill="E8E8E8"/>
          </w:tcPr>
          <w:p>
            <w:r>
              <w:t>收入</w:t>
            </w:r>
          </w:p>
        </w:tc>
        <w:tc>
          <w:tcPr>
            <w:tcW w:type="dxa" w:w="2353"/>
            <w:shd w:fill="E8E8E8"/>
          </w:tcPr>
          <w:p>
            <w:r>
              <w:t>成本</w:t>
            </w:r>
          </w:p>
        </w:tc>
        <w:tc>
          <w:tcPr>
            <w:tcW w:type="dxa" w:w="2353"/>
            <w:shd w:fill="E8E8E8"/>
          </w:tcPr>
          <w:p>
            <w:r>
              <w:t>贡献利润</w:t>
            </w:r>
          </w:p>
        </w:tc>
      </w:tr>
      <w:tr>
        <w:tc>
          <w:tcPr>
            <w:tcW w:type="dxa" w:w="1814"/>
          </w:tcPr>
          <w:p>
            <w:r>
              <w:t>保守</w:t>
            </w:r>
          </w:p>
        </w:tc>
        <w:tc>
          <w:tcPr>
            <w:tcW w:type="dxa" w:w="2381"/>
          </w:tcPr>
          <w:p>
            <w:r>
              <w:t>22.50</w:t>
            </w:r>
          </w:p>
        </w:tc>
        <w:tc>
          <w:tcPr>
            <w:tcW w:type="dxa" w:w="2381"/>
          </w:tcPr>
          <w:p>
            <w:r>
              <w:t>17.35</w:t>
            </w:r>
          </w:p>
        </w:tc>
        <w:tc>
          <w:tcPr>
            <w:tcW w:type="dxa" w:w="2835"/>
          </w:tcPr>
          <w:p>
            <w:r>
              <w:t>5.15</w:t>
            </w:r>
          </w:p>
        </w:tc>
      </w:tr>
      <w:tr>
        <w:tc>
          <w:tcPr>
            <w:tcW w:type="dxa" w:w="1814"/>
          </w:tcPr>
          <w:p>
            <w:r>
              <w:t>基准</w:t>
            </w:r>
          </w:p>
        </w:tc>
        <w:tc>
          <w:tcPr>
            <w:tcW w:type="dxa" w:w="2381"/>
          </w:tcPr>
          <w:p>
            <w:r>
              <w:t>25.00</w:t>
            </w:r>
          </w:p>
        </w:tc>
        <w:tc>
          <w:tcPr>
            <w:tcW w:type="dxa" w:w="2381"/>
          </w:tcPr>
          <w:p>
            <w:r>
              <w:t>17.75</w:t>
            </w:r>
          </w:p>
        </w:tc>
        <w:tc>
          <w:tcPr>
            <w:tcW w:type="dxa" w:w="2835"/>
          </w:tcPr>
          <w:p>
            <w:r>
              <w:t>7.25</w:t>
            </w:r>
          </w:p>
        </w:tc>
      </w:tr>
      <w:tr>
        <w:tc>
          <w:tcPr>
            <w:tcW w:type="dxa" w:w="1814"/>
          </w:tcPr>
          <w:p>
            <w:r>
              <w:t>乐观</w:t>
            </w:r>
          </w:p>
        </w:tc>
        <w:tc>
          <w:tcPr>
            <w:tcW w:type="dxa" w:w="2381"/>
          </w:tcPr>
          <w:p>
            <w:r>
              <w:t>27.50</w:t>
            </w:r>
          </w:p>
        </w:tc>
        <w:tc>
          <w:tcPr>
            <w:tcW w:type="dxa" w:w="2381"/>
          </w:tcPr>
          <w:p>
            <w:r>
              <w:t>18.15</w:t>
            </w:r>
          </w:p>
        </w:tc>
        <w:tc>
          <w:tcPr>
            <w:tcW w:type="dxa" w:w="2835"/>
          </w:tcPr>
          <w:p>
            <w:r>
              <w:t>9.35</w:t>
            </w:r>
          </w:p>
        </w:tc>
      </w:tr>
    </w:tbl>
    <w:p>
      <w:r>
        <w:t>平台费和佣金以当前场景售价为基数。</w:t>
      </w:r>
    </w:p>
    <w:p>
      <w:r>
        <w:t>return_loss 是每售出一件分摊的退款退货净损失；不再重复扣减销售收入。</w:t>
      </w:r>
    </w:p>
    <w:p>
      <w:r>
        <w:t>税费或其他成本须包含在 other 中；本结果不等于会计净利润。</w:t>
      </w:r>
    </w:p>
    <w:p>
      <w:pPr>
        <w:pStyle w:val="Heading2"/>
      </w:pPr>
      <w:r>
        <w:t>成本输入与来源</w:t>
      </w:r>
    </w:p>
    <w:p>
      <w:r>
        <w:t>currency：USD</w:t>
      </w:r>
    </w:p>
    <w:p>
      <w:r>
        <w:t>source：第二期演示假设，不是真实采购报价</w:t>
      </w:r>
    </w:p>
    <w:p>
      <w:r>
        <w:t>observed_on：2026-10-21</w:t>
      </w:r>
    </w:p>
    <w:p>
      <w:r>
        <w:t>assumed：True</w:t>
      </w:r>
    </w:p>
    <w:p>
      <w:r>
        <w:t>sale_price：25.00</w:t>
      </w:r>
    </w:p>
    <w:p>
      <w:r>
        <w:t>procurement：6.00</w:t>
      </w:r>
    </w:p>
    <w:p>
      <w:r>
        <w:t>shipping：4.00</w:t>
      </w:r>
    </w:p>
    <w:p>
      <w:r>
        <w:t>packaging：0.50</w:t>
      </w:r>
    </w:p>
    <w:p>
      <w:r>
        <w:t>platform_rate：0.06</w:t>
      </w:r>
    </w:p>
    <w:p>
      <w:r>
        <w:t>commission_rate：0.10</w:t>
      </w:r>
    </w:p>
    <w:p>
      <w:r>
        <w:t>advertising：2.00</w:t>
      </w:r>
    </w:p>
    <w:p>
      <w:r>
        <w:t>return_loss：0.75</w:t>
      </w:r>
    </w:p>
    <w:p>
      <w:r>
        <w:t>other：0.50</w:t>
      </w:r>
    </w:p>
    <w:p>
      <w:pPr>
        <w:pStyle w:val="Heading1"/>
      </w:pPr>
      <w:r>
        <w:t>缺失数据与下一步</w:t>
      </w:r>
    </w:p>
    <w:p>
      <w:pPr>
        <w:pStyle w:val="ListBullet"/>
      </w:pPr>
      <w:r>
        <w:t>未提供销量序列和竞品价格，不能判断市场增长或竞争力。</w:t>
      </w:r>
    </w:p>
    <w:p>
      <w:pPr>
        <w:pStyle w:val="ListBullet"/>
      </w:pPr>
      <w:r>
        <w:t>核实资料来源及商品宣传依据，再决定是否进入候选清单。</w:t>
      </w:r>
    </w:p>
    <w:p>
      <w:pPr>
        <w:pStyle w:val="Heading1"/>
      </w:pPr>
      <w:r>
        <w:t>引用证据原文</w:t>
      </w:r>
    </w:p>
    <w:p>
      <w:pPr>
        <w:pStyle w:val="Heading2"/>
      </w:pPr>
      <w:r>
        <w:t>ev-review-demo-v5-n1</w:t>
      </w:r>
    </w:p>
    <w:p>
      <w:r>
        <w:t>合成演示评论：抽屉推拉顺畅，桌面小物更容易分类，但放不下长尺。</w:t>
      </w:r>
    </w:p>
    <w:p>
      <w:r>
        <w:t>版本：import-v1</w:t>
        <w:br/>
        <w:t>来源：未提供</w:t>
      </w:r>
    </w:p>
    <w:p>
      <w:pPr>
        <w:pStyle w:val="Heading2"/>
      </w:pPr>
      <w:r>
        <w:t>ev-review-demo-v5-n2</w:t>
      </w:r>
    </w:p>
    <w:p>
      <w:r>
        <w:t>合成演示评论：米白颜色与页面接近，底部防滑垫容易脱落。</w:t>
      </w:r>
    </w:p>
    <w:p>
      <w:r>
        <w:t>版本：import-v1</w:t>
        <w:br/>
        <w:t>来源：未提供</w:t>
      </w:r>
    </w:p>
    <w:p>
      <w:pPr>
        <w:pStyle w:val="Heading1"/>
      </w:pPr>
      <w:r>
        <w:t>分析版本</w:t>
      </w:r>
    </w:p>
    <w:p>
      <w:r>
        <w:t>运行编号：0adef68a-bf93-4364-8d93-54d6ed73245a</w:t>
      </w:r>
    </w:p>
    <w:p>
      <w:r>
        <w:t>报告摘要：079bccd5e4f23bf068866530456058b16dd6dcfa18800695ac9a736b6fefe65e</w:t>
      </w:r>
    </w:p>
    <w:p>
      <w:r>
        <w:t>数据快照：f9df68c22359eb433eff9526d3522e561b3df945c04e9cbb92d2aa98ce8dece0</w:t>
      </w:r>
    </w:p>
    <w:p>
      <w:r>
        <w:t>模板版本：report-docx-v1</w:t>
      </w:r>
    </w:p>
    <w:p>
      <w:r>
        <w:t>模型：qwen3.7-plus</w:t>
      </w:r>
    </w:p>
    <w:p>
      <w:r>
        <w:t>提示词：research-v4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桌面抽屉收纳盒选品研究报告</dc:title>
  <dc:subject/>
  <dc:creator>选品研究工作台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