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THE IMPACT OF DIETARY MODIFICATION IN THE MANAGEMENT OF TYPE II DIABETES MELLITUS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(A CASE STUDY OF </w:t>
      </w:r>
      <w:r>
        <w:rPr>
          <w:rFonts w:cs="Times New Roman" w:ascii="Times New Roman" w:hAnsi="Times New Roman"/>
          <w:b/>
          <w:sz w:val="28"/>
          <w:szCs w:val="28"/>
        </w:rPr>
        <w:t>SPECIALIST</w:t>
      </w:r>
      <w:r>
        <w:rPr>
          <w:rFonts w:cs="Times New Roman" w:ascii="Times New Roman" w:hAnsi="Times New Roman"/>
          <w:b/>
          <w:sz w:val="28"/>
          <w:szCs w:val="28"/>
        </w:rPr>
        <w:t xml:space="preserve"> HOSPITAL OFFA)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BY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AMOKE KINGSLEY CHIBUIKE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M6369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SUBMITTED TO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PHARMACY TECHNICIAN DEPARTMENT NIGERIAN NAVY COLLEGE OF HEALTH SCIENCES OFFA. KWARA STATE.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IN PARTIAL FULFILLMENT OF THE REQUIREMENTS FOR THE AWARD OF PHARMACY TECHNICIAN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NIGERIAN NAVY COLLEGE OF HEALTH SCIENCES OFFA, KWARA STATE.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SEPTEMBER 2025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1</Pages>
  <Words>62</Words>
  <Characters>355</Characters>
  <CharactersWithSpaces>407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2025-06-24T09:44:28Z</dcterms:created>
  <dc:creator/>
  <dc:description/>
  <dc:language>en-US</dc:language>
  <cp:lastModifiedBy/>
  <dcterms:modified xsi:type="dcterms:W3CDTF">2026-03-06T12:19:13Z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