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00"/>
        <w:jc w:val="center"/>
        <w:rPr>
          <w:rFonts w:ascii="Times New Roman" w:hAnsi="Times New Roman" w:eastAsia="SimSun" w:cs="Times New Roman"/>
          <w:b/>
          <w:bCs/>
          <w:sz w:val="28"/>
          <w:szCs w:val="28"/>
        </w:rPr>
      </w:pPr>
      <w:r>
        <w:rPr>
          <w:rFonts w:eastAsia="SimSun" w:cs="Times New Roman" w:ascii="Times New Roman" w:hAnsi="Times New Roman"/>
          <w:b/>
          <w:bCs/>
          <w:sz w:val="28"/>
          <w:szCs w:val="28"/>
        </w:rPr>
        <w:t>CHAPTEER FIVE</w:t>
      </w:r>
    </w:p>
    <w:p>
      <w:pPr>
        <w:pStyle w:val="Normal"/>
        <w:bidi w:val="0"/>
        <w:jc w:val="both"/>
        <w:rPr>
          <w:rFonts w:ascii="Times New Roman" w:hAnsi="Times New Roman" w:eastAsia="SimSun" w:cs="Times New Roman"/>
          <w:b/>
          <w:bCs/>
          <w:sz w:val="28"/>
          <w:szCs w:val="28"/>
        </w:rPr>
      </w:pPr>
      <w:r>
        <w:rPr>
          <w:rFonts w:eastAsia="SimSun" w:cs="Times New Roman" w:ascii="Times New Roman" w:hAnsi="Times New Roman"/>
          <w:b/>
          <w:bCs/>
          <w:sz w:val="28"/>
          <w:szCs w:val="28"/>
        </w:rPr>
        <w:t>5.0 SUMMERY OF FINDINGS</w:t>
      </w:r>
    </w:p>
    <w:p>
      <w:pPr>
        <w:pStyle w:val="Normal"/>
        <w:bidi w:val="0"/>
        <w:jc w:val="both"/>
        <w:rPr>
          <w:rFonts w:ascii="Times New Roman" w:hAnsi="Times New Roman" w:eastAsia="SimSun" w:cs="Times New Roman"/>
          <w:b/>
          <w:bCs/>
          <w:sz w:val="28"/>
          <w:szCs w:val="28"/>
        </w:rPr>
      </w:pPr>
      <w:r>
        <w:rPr>
          <w:rFonts w:eastAsia="SimSun" w:cs="Times New Roman" w:ascii="Times New Roman" w:hAnsi="Times New Roman"/>
          <w:b/>
          <w:bCs/>
          <w:sz w:val="28"/>
          <w:szCs w:val="28"/>
        </w:rPr>
      </w:r>
    </w:p>
    <w:p>
      <w:pPr>
        <w:pStyle w:val="BodyText"/>
        <w:bidi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This study examined the impact of dietary modification on the management of Type 2 Diabetes Mellitus (T2DM) among patients at General Hospital, Offa, with a focus on socio-demographic characteristics, knowledge, adherence, and the overall influence of diet on disease control. The majority of respondents were older adults, particularly those aged 60 years and above (34.6%), followed by the 50–54 years (23.1%) and 55–60 years (19.3%) age groups, reflecting the higher risk of T2DM among older populations. </w:t>
      </w:r>
    </w:p>
    <w:p>
      <w:pPr>
        <w:pStyle w:val="BodyText"/>
        <w:bidi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Gender distribution was relatively balanced, with males slightly predominant (53.8%). Most respondents were married (55.8%) and employed (63.5%). Factors that influence both dietary choices and the ability to sustain lifestyle modifications. The majority belonged to the Yoruba ethnic group due to the study location.</w:t>
      </w:r>
    </w:p>
    <w:p>
      <w:pPr>
        <w:pStyle w:val="BodyText"/>
        <w:bidi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Awareness of dietary modification as a tool for controlling blood sugar was low, with only 30.8% acknowledging its role, despite 67.3% having implemented dietary changes. This indicates that while many adopt dietary practices, such changes may occur without full understanding, underscoring the need for better diabetes education.</w:t>
      </w:r>
    </w:p>
    <w:p>
      <w:pPr>
        <w:pStyle w:val="BodyText"/>
        <w:bidi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Most participants (63.3%) reported frequent consumption of high-fiber foods such as beans, vegetables, and whole grains, which are beneficial for glycemic control. However, a considerable portion (34.6%) still consumed processed and sugary foods, possibly due to cultural preferences, availability, or cost constraints barriers highlighted by 67.3% of respondents. </w:t>
      </w:r>
    </w:p>
    <w:p>
      <w:pPr>
        <w:pStyle w:val="BodyText"/>
        <w:bidi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Adherence to portion control was low (38.5%), and 46.1% reported skipping or delaying meals, contributing to erratic blood sugar levels and episodes of hypoglycemia (reported by 53.9%). These patterns suggest inadequate counseling and lifestyle adaptation challenges.</w:t>
      </w:r>
    </w:p>
    <w:p>
      <w:pPr>
        <w:pStyle w:val="BodyText"/>
        <w:bidi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Over half of the respondents (55.8%) experienced improved blood sugar control and a greater sense of disease management after modifying their diet, reinforcing the importance of nutrition in T2DM care. However, 44.2% saw no improvement, reflecting individual variability and adherence challenges.</w:t>
      </w:r>
    </w:p>
    <w:p>
      <w:pPr>
        <w:pStyle w:val="BodyText"/>
        <w:bidi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While 57.7% received dietary advice from healthcare providers and monitored their blood glucose regularly, significant gaps remain in comprehensive clinical guidance. Economic, social, and cultural barriers further complicate adherence. Over two-third of respondents cited cost and availability of healthy foods as major constraints, while social events and cultural norms influenced dietary compliance.</w:t>
      </w:r>
    </w:p>
    <w:p>
      <w:pPr>
        <w:pStyle w:val="Normal"/>
        <w:bidi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5.1 LIMITATIONS 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The flowing limitations affected the study:</w:t>
      </w:r>
    </w:p>
    <w:p>
      <w:pPr>
        <w:pStyle w:val="Normal"/>
        <w:numPr>
          <w:ilvl w:val="0"/>
          <w:numId w:val="1"/>
        </w:numPr>
        <w:bidi w:val="0"/>
        <w:spacing w:before="0" w:after="0"/>
        <w:jc w:val="start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Language barrier: Most</w:t>
      </w:r>
      <w:r>
        <w:rPr>
          <w:rFonts w:ascii="Times New Roman" w:hAnsi="Times New Roman"/>
          <w:sz w:val="28"/>
          <w:szCs w:val="28"/>
        </w:rPr>
        <w:t xml:space="preserve"> participants had difficulty communicating with the researcher with a common language thereby creating communication challenges during data collection.</w:t>
      </w:r>
    </w:p>
    <w:p>
      <w:pPr>
        <w:pStyle w:val="Normal"/>
        <w:numPr>
          <w:ilvl w:val="0"/>
          <w:numId w:val="1"/>
        </w:numPr>
        <w:bidi w:val="0"/>
        <w:spacing w:before="0" w:after="0"/>
        <w:jc w:val="start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Financial constraints: </w:t>
      </w:r>
      <w:r>
        <w:rPr>
          <w:rFonts w:ascii="Times New Roman" w:hAnsi="Times New Roman"/>
          <w:sz w:val="28"/>
          <w:szCs w:val="28"/>
        </w:rPr>
        <w:t>Limited financial resources primarily affected transportation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1"/>
        </w:numPr>
        <w:bidi w:val="0"/>
        <w:spacing w:before="0" w:after="0"/>
        <w:jc w:val="start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Time constraints: </w:t>
      </w:r>
      <w:r>
        <w:rPr>
          <w:rFonts w:ascii="Times New Roman" w:hAnsi="Times New Roman"/>
          <w:sz w:val="28"/>
          <w:szCs w:val="28"/>
        </w:rPr>
        <w:t>The short duration for data collection impacted the depth and comprehensiveness of the study.</w:t>
      </w:r>
    </w:p>
    <w:p>
      <w:pPr>
        <w:pStyle w:val="Normal"/>
        <w:bidi w:val="0"/>
        <w:jc w:val="both"/>
        <w:rPr>
          <w:rFonts w:ascii="Times New Roman" w:hAnsi="Times New Roman" w:eastAsia="SimSun" w:cs="Times New Roman"/>
          <w:b/>
          <w:bCs/>
          <w:sz w:val="28"/>
          <w:szCs w:val="28"/>
        </w:rPr>
      </w:pPr>
      <w:r>
        <w:rPr>
          <w:rFonts w:eastAsia="SimSun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 w:eastAsia="SimSun" w:cs="Times New Roman"/>
          <w:b/>
          <w:bCs/>
          <w:sz w:val="28"/>
          <w:szCs w:val="28"/>
        </w:rPr>
      </w:pPr>
      <w:r>
        <w:rPr>
          <w:rFonts w:eastAsia="SimSun" w:cs="Times New Roman" w:ascii="Times New Roman" w:hAnsi="Times New Roman"/>
          <w:b/>
          <w:bCs/>
          <w:sz w:val="28"/>
          <w:szCs w:val="28"/>
        </w:rPr>
        <w:t xml:space="preserve">5.2 CONCLUSION  </w:t>
      </w:r>
    </w:p>
    <w:p>
      <w:pPr>
        <w:pStyle w:val="Normal"/>
        <w:bidi w:val="0"/>
        <w:jc w:val="both"/>
        <w:rPr>
          <w:rFonts w:ascii="Times New Roman" w:hAnsi="Times New Roman" w:eastAsia="SimSun" w:cs="Times New Roman"/>
          <w:sz w:val="28"/>
          <w:szCs w:val="28"/>
        </w:rPr>
      </w:pPr>
      <w:r>
        <w:rPr>
          <w:rFonts w:eastAsia="SimSun" w:cs="Times New Roman" w:ascii="Times New Roman" w:hAnsi="Times New Roman"/>
          <w:sz w:val="28"/>
          <w:szCs w:val="28"/>
        </w:rPr>
        <w:t>The findings confirm that dietary modification plays a critical role in managing T2DM, but knowledge gaps, economic limitations, cultural influences, and inconsistent adherence reduce its effectiveness. Strengthening patient education, improving access to affordable healthy foods, and addressing socio-cultural barriers are essential to enhance dietary adherence and improve long-term outcomes in T2DM management.</w:t>
      </w:r>
    </w:p>
    <w:p>
      <w:pPr>
        <w:pStyle w:val="Normal"/>
        <w:bidi w:val="0"/>
        <w:jc w:val="both"/>
        <w:rPr>
          <w:rFonts w:ascii="Times New Roman" w:hAnsi="Times New Roman" w:eastAsia="SimSun" w:cs="Times New Roman"/>
          <w:sz w:val="28"/>
          <w:szCs w:val="28"/>
        </w:rPr>
      </w:pPr>
      <w:r>
        <w:rPr>
          <w:rFonts w:eastAsia="SimSun"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 w:eastAsia="SimSun" w:cs="Times New Roman"/>
          <w:b/>
          <w:bCs/>
          <w:sz w:val="28"/>
          <w:szCs w:val="28"/>
        </w:rPr>
      </w:pPr>
      <w:r>
        <w:rPr>
          <w:rFonts w:eastAsia="SimSun" w:cs="Times New Roman" w:ascii="Times New Roman" w:hAnsi="Times New Roman"/>
          <w:b/>
          <w:bCs/>
          <w:sz w:val="28"/>
          <w:szCs w:val="28"/>
        </w:rPr>
        <w:t>5.3 RECOMMENDATION</w:t>
      </w:r>
    </w:p>
    <w:p>
      <w:pPr>
        <w:pStyle w:val="Normal"/>
        <w:bidi w:val="0"/>
        <w:jc w:val="both"/>
        <w:rPr>
          <w:rFonts w:ascii="Times New Roman" w:hAnsi="Times New Roman" w:eastAsia="SimSun" w:cs="Times New Roman"/>
          <w:sz w:val="28"/>
          <w:szCs w:val="28"/>
        </w:rPr>
      </w:pPr>
      <w:r>
        <w:rPr>
          <w:rFonts w:eastAsia="SimSu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LibreOffice/25.2.5.2$Linux_X86_64 LibreOffice_project/520$Build-2</Application>
  <AppVersion>15.0000</AppVersion>
  <Pages>2</Pages>
  <Words>464</Words>
  <Characters>2957</Characters>
  <CharactersWithSpaces>3404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2025-08-22T22:38:11Z</dcterms:created>
  <dc:creator/>
  <dc:description/>
  <dc:language>en-US</dc:language>
  <cp:lastModifiedBy/>
  <dcterms:modified xsi:type="dcterms:W3CDTF">2025-08-26T21:05:51Z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