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r>
    </w:p>
    <w:p>
      <w:pPr>
        <w:pStyle w:val="Normal"/>
        <w:bidi w:val="0"/>
        <w:spacing w:lineRule="auto" w:line="360"/>
        <w:jc w:val="both"/>
        <w:rPr>
          <w:rFonts w:ascii="Times New Roman" w:hAnsi="Times New Roman"/>
          <w:sz w:val="28"/>
          <w:szCs w:val="28"/>
        </w:rPr>
      </w:pPr>
      <w:r>
        <w:rPr>
          <w:rFonts w:ascii="Times New Roman" w:hAnsi="Times New Roman"/>
          <w:b/>
          <w:bCs/>
          <w:sz w:val="28"/>
          <w:szCs w:val="28"/>
        </w:rPr>
        <w:t>INTRODUCTION</w:t>
      </w:r>
    </w:p>
    <w:p>
      <w:pPr>
        <w:pStyle w:val="Normal"/>
        <w:bidi w:val="0"/>
        <w:spacing w:lineRule="auto" w:line="36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Osteoarthritis (OA) is the most common form of arthritis, affecting millions of people worldwide. It is a degenerative joint disease characterized by the progressive deterioration of articular cartilage, subchondral bone remodeling, and synovial inflammation (Lina Zaripova et al., 2022). Unlike inflammatory arthritis, such as rheumatoid arthritis, OA is primarily driven by mechanical and biological processes that disrupt the equilibrium between cartilage breakdown and repair. This seminar work will dive into the  pathophysiology of osteoarthritis,  the key factors that contribute to its onset and progression, as well  as the pharmacological and non-pharmacological management.</w:t>
      </w:r>
    </w:p>
    <w:p>
      <w:pPr>
        <w:pStyle w:val="Normal"/>
        <w:bidi w:val="0"/>
        <w:spacing w:lineRule="auto" w:line="36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Normal"/>
        <w:bidi w:val="0"/>
        <w:spacing w:lineRule="auto" w:line="36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06463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6120130" cy="4064635"/>
                    </a:xfrm>
                    <a:prstGeom prst="rect">
                      <a:avLst/>
                    </a:prstGeom>
                    <a:noFill/>
                  </pic:spPr>
                </pic:pic>
              </a:graphicData>
            </a:graphic>
          </wp:anchor>
        </w:drawing>
      </w:r>
    </w:p>
    <w:p>
      <w:pPr>
        <w:pStyle w:val="Normal"/>
        <w:bidi w:val="0"/>
        <w:spacing w:lineRule="auto" w:line="36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 xml:space="preserve">In the global aspect OA represents a significant public health challenge. Being a chronic joint disease OA of the hip and knee is a leading cause of disability in elderly. Moreover, it is the third most rapidly rising disease after diabetes and dementia (Hawker GA. 2015). With an aging population and an increasing prevalence of obesity worldwide, the burden of OA will continue to rise as the burden on health systems increases. There is evidence of an increased risk of mortality in connection with OA, which is possibly associated with the development of hypodynamia, metabolic and psycho-emotional disorders, with the background of persistent pain syndrome and low-intensity inflammation, that increases the risk of cardiovascular catastrophes (Veronese N et al., 2016). </w:t>
      </w:r>
    </w:p>
    <w:p>
      <w:pPr>
        <w:pStyle w:val="Normal"/>
        <w:bidi w:val="0"/>
        <w:spacing w:lineRule="auto" w:line="360"/>
        <w:jc w:val="both"/>
        <w:rPr>
          <w:rFonts w:ascii="Times New Roman" w:hAnsi="Times New Roman"/>
          <w:sz w:val="28"/>
          <w:szCs w:val="28"/>
        </w:rPr>
      </w:pPr>
      <w:r>
        <w:rPr>
          <w:rFonts w:ascii="Times New Roman" w:hAnsi="Times New Roman"/>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sz w:val="28"/>
          <w:szCs w:val="28"/>
        </w:rPr>
        <w:t>AIM</w:t>
      </w:r>
    </w:p>
    <w:p>
      <w:pPr>
        <w:pStyle w:val="Normal"/>
        <w:bidi w:val="0"/>
        <w:jc w:val="both"/>
        <w:rPr>
          <w:rFonts w:ascii="Times New Roman" w:hAnsi="Times New Roman"/>
          <w:sz w:val="28"/>
          <w:szCs w:val="28"/>
        </w:rPr>
      </w:pPr>
      <w:r>
        <w:rPr>
          <w:rFonts w:ascii="Times New Roman" w:hAnsi="Times New Roman"/>
          <w:b w:val="false"/>
          <w:bCs w:val="false"/>
          <w:sz w:val="28"/>
          <w:szCs w:val="28"/>
        </w:rPr>
        <w:t>The aim of this seminar is to discuss the management of oesteoarthritis with a view to making recommendations.</w:t>
      </w:r>
    </w:p>
    <w:p>
      <w:pPr>
        <w:pStyle w:val="Normal"/>
        <w:bidi w:val="0"/>
        <w:spacing w:lineRule="auto" w:line="360"/>
        <w:jc w:val="both"/>
        <w:rPr>
          <w:rFonts w:ascii="Times New Roman" w:hAnsi="Times New Roman"/>
          <w:sz w:val="28"/>
          <w:szCs w:val="28"/>
        </w:rPr>
      </w:pPr>
      <w:r>
        <w:rPr>
          <w:rFonts w:ascii="Times New Roman" w:hAnsi="Times New Roman"/>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sz w:val="28"/>
          <w:szCs w:val="28"/>
        </w:rPr>
        <w:t>SCOPE</w:t>
      </w:r>
    </w:p>
    <w:p>
      <w:pPr>
        <w:pStyle w:val="Normal"/>
        <w:bidi w:val="0"/>
        <w:spacing w:lineRule="auto" w:line="360"/>
        <w:jc w:val="both"/>
        <w:rPr>
          <w:rFonts w:ascii="Times New Roman" w:hAnsi="Times New Roman"/>
          <w:sz w:val="28"/>
          <w:szCs w:val="28"/>
        </w:rPr>
      </w:pPr>
      <w:r>
        <w:rPr>
          <w:rFonts w:ascii="Times New Roman" w:hAnsi="Times New Roman"/>
          <w:sz w:val="28"/>
          <w:szCs w:val="28"/>
        </w:rPr>
        <w:t>1. Definition of terms</w:t>
      </w:r>
    </w:p>
    <w:p>
      <w:pPr>
        <w:pStyle w:val="Normal"/>
        <w:bidi w:val="0"/>
        <w:spacing w:lineRule="auto" w:line="360"/>
        <w:jc w:val="both"/>
        <w:rPr>
          <w:rFonts w:ascii="Times New Roman" w:hAnsi="Times New Roman"/>
          <w:sz w:val="28"/>
          <w:szCs w:val="28"/>
        </w:rPr>
      </w:pPr>
      <w:r>
        <w:rPr>
          <w:rFonts w:ascii="Times New Roman" w:hAnsi="Times New Roman"/>
          <w:sz w:val="28"/>
          <w:szCs w:val="28"/>
        </w:rPr>
        <w:t>2. Epidemiology</w:t>
      </w:r>
    </w:p>
    <w:p>
      <w:pPr>
        <w:pStyle w:val="Normal"/>
        <w:bidi w:val="0"/>
        <w:spacing w:lineRule="auto" w:line="360"/>
        <w:jc w:val="both"/>
        <w:rPr>
          <w:rFonts w:ascii="Times New Roman" w:hAnsi="Times New Roman"/>
          <w:sz w:val="28"/>
          <w:szCs w:val="28"/>
        </w:rPr>
      </w:pPr>
      <w:r>
        <w:rPr>
          <w:rFonts w:ascii="Times New Roman" w:hAnsi="Times New Roman"/>
          <w:sz w:val="28"/>
          <w:szCs w:val="28"/>
        </w:rPr>
        <w:t>3. Pathophysiology</w:t>
      </w:r>
    </w:p>
    <w:p>
      <w:pPr>
        <w:pStyle w:val="Normal"/>
        <w:bidi w:val="0"/>
        <w:spacing w:lineRule="auto" w:line="360"/>
        <w:jc w:val="both"/>
        <w:rPr>
          <w:rFonts w:ascii="Times New Roman" w:hAnsi="Times New Roman"/>
          <w:sz w:val="28"/>
          <w:szCs w:val="28"/>
        </w:rPr>
      </w:pPr>
      <w:r>
        <w:rPr>
          <w:rFonts w:ascii="Times New Roman" w:hAnsi="Times New Roman"/>
          <w:sz w:val="28"/>
          <w:szCs w:val="28"/>
        </w:rPr>
        <w:t>4. Causes</w:t>
      </w:r>
    </w:p>
    <w:p>
      <w:pPr>
        <w:pStyle w:val="Normal"/>
        <w:bidi w:val="0"/>
        <w:spacing w:lineRule="auto" w:line="360"/>
        <w:jc w:val="both"/>
        <w:rPr>
          <w:rFonts w:ascii="Times New Roman" w:hAnsi="Times New Roman"/>
          <w:sz w:val="28"/>
          <w:szCs w:val="28"/>
        </w:rPr>
      </w:pPr>
      <w:r>
        <w:rPr>
          <w:rFonts w:ascii="Times New Roman" w:hAnsi="Times New Roman"/>
          <w:sz w:val="28"/>
          <w:szCs w:val="28"/>
        </w:rPr>
        <w:t>5. Risk Factors</w:t>
      </w:r>
    </w:p>
    <w:p>
      <w:pPr>
        <w:pStyle w:val="Normal"/>
        <w:bidi w:val="0"/>
        <w:spacing w:lineRule="auto" w:line="360"/>
        <w:jc w:val="both"/>
        <w:rPr>
          <w:rFonts w:ascii="Times New Roman" w:hAnsi="Times New Roman"/>
          <w:sz w:val="28"/>
          <w:szCs w:val="28"/>
        </w:rPr>
      </w:pPr>
      <w:r>
        <w:rPr>
          <w:rFonts w:ascii="Times New Roman" w:hAnsi="Times New Roman"/>
          <w:sz w:val="28"/>
          <w:szCs w:val="28"/>
        </w:rPr>
        <w:t>6. Symptoms</w:t>
      </w:r>
    </w:p>
    <w:p>
      <w:pPr>
        <w:pStyle w:val="Normal"/>
        <w:bidi w:val="0"/>
        <w:spacing w:lineRule="auto" w:line="360"/>
        <w:jc w:val="both"/>
        <w:rPr>
          <w:rFonts w:ascii="Times New Roman" w:hAnsi="Times New Roman"/>
          <w:sz w:val="28"/>
          <w:szCs w:val="28"/>
        </w:rPr>
      </w:pPr>
      <w:r>
        <w:rPr>
          <w:rFonts w:ascii="Times New Roman" w:hAnsi="Times New Roman"/>
          <w:sz w:val="28"/>
          <w:szCs w:val="28"/>
        </w:rPr>
        <w:t>7. Diagnosis</w:t>
      </w:r>
    </w:p>
    <w:p>
      <w:pPr>
        <w:pStyle w:val="Normal"/>
        <w:bidi w:val="0"/>
        <w:spacing w:lineRule="auto" w:line="360"/>
        <w:jc w:val="both"/>
        <w:rPr>
          <w:rFonts w:ascii="Times New Roman" w:hAnsi="Times New Roman"/>
          <w:sz w:val="28"/>
          <w:szCs w:val="28"/>
        </w:rPr>
      </w:pPr>
      <w:r>
        <w:rPr>
          <w:rFonts w:ascii="Times New Roman" w:hAnsi="Times New Roman"/>
          <w:sz w:val="28"/>
          <w:szCs w:val="28"/>
        </w:rPr>
        <w:t>8. Management</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sz w:val="28"/>
          <w:szCs w:val="28"/>
        </w:rPr>
        <w:t>DEFINITION OF TERMS</w:t>
      </w:r>
    </w:p>
    <w:p>
      <w:pPr>
        <w:pStyle w:val="Normal"/>
        <w:bidi w:val="0"/>
        <w:spacing w:lineRule="auto" w:line="360"/>
        <w:jc w:val="both"/>
        <w:rPr/>
      </w:pPr>
      <w:r>
        <w:rPr>
          <w:rStyle w:val="Strong"/>
          <w:rFonts w:ascii="Times New Roman" w:hAnsi="Times New Roman"/>
          <w:i w:val="false"/>
          <w:caps w:val="false"/>
          <w:smallCaps w:val="false"/>
          <w:color w:val="000000"/>
          <w:spacing w:val="0"/>
          <w:sz w:val="28"/>
          <w:szCs w:val="28"/>
        </w:rPr>
        <w:t xml:space="preserve">Osteoarthritis (OA): </w:t>
      </w:r>
      <w:r>
        <w:rPr>
          <w:rFonts w:ascii="Times New Roman" w:hAnsi="Times New Roman"/>
          <w:b w:val="false"/>
          <w:bCs w:val="false"/>
          <w:sz w:val="28"/>
          <w:szCs w:val="28"/>
        </w:rPr>
        <w:t>A chronic, degenerative joint disease characterized by the breakdown of cartilage, leading to pain, stiffness, and decreased joint function.</w:t>
      </w:r>
    </w:p>
    <w:p>
      <w:pPr>
        <w:pStyle w:val="Normal"/>
        <w:bidi w:val="0"/>
        <w:spacing w:lineRule="auto" w:line="360"/>
        <w:jc w:val="both"/>
        <w:rPr/>
      </w:pPr>
      <w:r>
        <w:rPr>
          <w:rStyle w:val="Strong"/>
          <w:rFonts w:ascii="Times New Roman" w:hAnsi="Times New Roman"/>
          <w:sz w:val="28"/>
          <w:szCs w:val="28"/>
        </w:rPr>
        <w:t xml:space="preserve">Cartilage: </w:t>
      </w:r>
      <w:r>
        <w:rPr>
          <w:rFonts w:ascii="Times New Roman" w:hAnsi="Times New Roman"/>
          <w:b w:val="false"/>
          <w:bCs w:val="false"/>
          <w:sz w:val="28"/>
          <w:szCs w:val="28"/>
        </w:rPr>
        <w:t>A smooth, rubbery tissue that covers the ends of bones in joints, allowing for smooth movement and cushioning. In OA, this tissue gradually wears away.</w:t>
      </w:r>
    </w:p>
    <w:p>
      <w:pPr>
        <w:pStyle w:val="Normal"/>
        <w:bidi w:val="0"/>
        <w:spacing w:lineRule="auto" w:line="360"/>
        <w:jc w:val="both"/>
        <w:rPr/>
      </w:pPr>
      <w:r>
        <w:rPr>
          <w:rStyle w:val="Strong"/>
          <w:rFonts w:ascii="Times New Roman" w:hAnsi="Times New Roman"/>
          <w:sz w:val="28"/>
          <w:szCs w:val="28"/>
        </w:rPr>
        <w:t xml:space="preserve">Synovial Fluid: </w:t>
      </w:r>
      <w:r>
        <w:rPr>
          <w:rFonts w:ascii="Times New Roman" w:hAnsi="Times New Roman"/>
          <w:b w:val="false"/>
          <w:bCs w:val="false"/>
          <w:sz w:val="28"/>
          <w:szCs w:val="28"/>
        </w:rPr>
        <w:t>A thick, lubricating fluid found in joints that reduces friction and nourishes cartilage.</w:t>
      </w:r>
    </w:p>
    <w:p>
      <w:pPr>
        <w:pStyle w:val="Normal"/>
        <w:bidi w:val="0"/>
        <w:spacing w:lineRule="auto" w:line="360"/>
        <w:jc w:val="both"/>
        <w:rPr/>
      </w:pPr>
      <w:r>
        <w:rPr>
          <w:rStyle w:val="Strong"/>
          <w:rFonts w:ascii="Times New Roman" w:hAnsi="Times New Roman"/>
          <w:sz w:val="28"/>
          <w:szCs w:val="28"/>
        </w:rPr>
        <w:t xml:space="preserve">Joint Space Narrowing: </w:t>
      </w:r>
      <w:r>
        <w:rPr>
          <w:rFonts w:ascii="Times New Roman" w:hAnsi="Times New Roman"/>
          <w:b w:val="false"/>
          <w:bCs w:val="false"/>
          <w:sz w:val="28"/>
          <w:szCs w:val="28"/>
        </w:rPr>
        <w:t>Reduction in the space between bones in a joint, visible on X-ray, indicating cartilage loss.</w:t>
      </w:r>
    </w:p>
    <w:p>
      <w:pPr>
        <w:pStyle w:val="Normal"/>
        <w:bidi w:val="0"/>
        <w:spacing w:lineRule="auto" w:line="360"/>
        <w:jc w:val="both"/>
        <w:rPr/>
      </w:pPr>
      <w:r>
        <w:rPr>
          <w:rStyle w:val="Strong"/>
          <w:rFonts w:ascii="Times New Roman" w:hAnsi="Times New Roman"/>
          <w:sz w:val="28"/>
          <w:szCs w:val="28"/>
        </w:rPr>
        <w:t xml:space="preserve">Osteophytes (Bone Spurs): </w:t>
      </w:r>
      <w:r>
        <w:rPr>
          <w:rFonts w:ascii="Times New Roman" w:hAnsi="Times New Roman"/>
          <w:b w:val="false"/>
          <w:bCs w:val="false"/>
          <w:sz w:val="28"/>
          <w:szCs w:val="28"/>
        </w:rPr>
        <w:t>Small bony growths that develop on the edges of bones near joints affected by OA. They are a sign of joint degeneration.</w:t>
      </w:r>
    </w:p>
    <w:p>
      <w:pPr>
        <w:pStyle w:val="Normal"/>
        <w:bidi w:val="0"/>
        <w:spacing w:lineRule="auto" w:line="360"/>
        <w:jc w:val="both"/>
        <w:rPr/>
      </w:pPr>
      <w:r>
        <w:rPr>
          <w:rStyle w:val="Strong"/>
          <w:rFonts w:ascii="Times New Roman" w:hAnsi="Times New Roman"/>
          <w:sz w:val="28"/>
          <w:szCs w:val="28"/>
        </w:rPr>
        <w:t xml:space="preserve">Crepitus: </w:t>
      </w:r>
      <w:r>
        <w:rPr>
          <w:rFonts w:ascii="Times New Roman" w:hAnsi="Times New Roman"/>
          <w:b w:val="false"/>
          <w:bCs w:val="false"/>
          <w:sz w:val="28"/>
          <w:szCs w:val="28"/>
        </w:rPr>
        <w:t>A grating, crackling, or popping sound or sensation in the joint, often due to cartilage degeneration.</w:t>
      </w:r>
    </w:p>
    <w:p>
      <w:pPr>
        <w:pStyle w:val="Normal"/>
        <w:bidi w:val="0"/>
        <w:spacing w:lineRule="auto" w:line="360"/>
        <w:jc w:val="both"/>
        <w:rPr/>
      </w:pPr>
      <w:r>
        <w:rPr>
          <w:rStyle w:val="Strong"/>
          <w:rFonts w:ascii="Times New Roman" w:hAnsi="Times New Roman"/>
          <w:sz w:val="28"/>
          <w:szCs w:val="28"/>
        </w:rPr>
        <w:t xml:space="preserve">Subchondral Bone: </w:t>
      </w:r>
      <w:r>
        <w:rPr>
          <w:rFonts w:ascii="Times New Roman" w:hAnsi="Times New Roman"/>
          <w:b w:val="false"/>
          <w:bCs w:val="false"/>
          <w:sz w:val="28"/>
          <w:szCs w:val="28"/>
        </w:rPr>
        <w:t>The layer of bone just beneath the cartilage. In OA, this bone may harden (sclerosis) or form cysts.</w:t>
      </w:r>
    </w:p>
    <w:p>
      <w:pPr>
        <w:pStyle w:val="Normal"/>
        <w:bidi w:val="0"/>
        <w:spacing w:lineRule="auto" w:line="360"/>
        <w:jc w:val="both"/>
        <w:rPr/>
      </w:pPr>
      <w:r>
        <w:rPr>
          <w:rStyle w:val="Strong"/>
          <w:rFonts w:ascii="Times New Roman" w:hAnsi="Times New Roman"/>
          <w:sz w:val="28"/>
          <w:szCs w:val="28"/>
        </w:rPr>
        <w:t xml:space="preserve">Sclerosis: </w:t>
      </w:r>
      <w:r>
        <w:rPr>
          <w:rFonts w:ascii="Times New Roman" w:hAnsi="Times New Roman"/>
          <w:b w:val="false"/>
          <w:bCs w:val="false"/>
          <w:sz w:val="28"/>
          <w:szCs w:val="28"/>
        </w:rPr>
        <w:t>Abnormal hardening of subchondral bone, often seen in OA due to increased stress on the bone.</w:t>
      </w:r>
    </w:p>
    <w:p>
      <w:pPr>
        <w:pStyle w:val="Normal"/>
        <w:bidi w:val="0"/>
        <w:spacing w:lineRule="auto" w:line="360"/>
        <w:jc w:val="both"/>
        <w:rPr/>
      </w:pPr>
      <w:r>
        <w:rPr>
          <w:rStyle w:val="Strong"/>
          <w:rFonts w:ascii="Times New Roman" w:hAnsi="Times New Roman"/>
          <w:sz w:val="28"/>
          <w:szCs w:val="28"/>
        </w:rPr>
        <w:t xml:space="preserve">Synovitis: </w:t>
      </w:r>
      <w:r>
        <w:rPr>
          <w:rFonts w:ascii="Times New Roman" w:hAnsi="Times New Roman"/>
          <w:b w:val="false"/>
          <w:bCs w:val="false"/>
          <w:sz w:val="28"/>
          <w:szCs w:val="28"/>
        </w:rPr>
        <w:t>Inflammation of the synovial membrane, which lines the joint. This can occur in OA, contributing to swelling and pain.</w:t>
      </w:r>
    </w:p>
    <w:p>
      <w:pPr>
        <w:pStyle w:val="Normal"/>
        <w:bidi w:val="0"/>
        <w:spacing w:lineRule="auto" w:line="360"/>
        <w:jc w:val="both"/>
        <w:rPr/>
      </w:pPr>
      <w:r>
        <w:rPr>
          <w:rStyle w:val="Strong"/>
          <w:rFonts w:ascii="Times New Roman" w:hAnsi="Times New Roman"/>
          <w:sz w:val="28"/>
          <w:szCs w:val="28"/>
        </w:rPr>
        <w:t xml:space="preserve">Joint Deformity: </w:t>
      </w:r>
      <w:r>
        <w:rPr>
          <w:rFonts w:ascii="Times New Roman" w:hAnsi="Times New Roman"/>
          <w:b w:val="false"/>
          <w:bCs w:val="false"/>
          <w:sz w:val="28"/>
          <w:szCs w:val="28"/>
        </w:rPr>
        <w:t>A visible change in the shape or alignment of the joint, often seen in advanced OA.</w:t>
      </w:r>
    </w:p>
    <w:p>
      <w:pPr>
        <w:pStyle w:val="Normal"/>
        <w:bidi w:val="0"/>
        <w:spacing w:lineRule="auto" w:line="360"/>
        <w:jc w:val="both"/>
        <w:rPr/>
      </w:pPr>
      <w:r>
        <w:rPr>
          <w:rStyle w:val="Strong"/>
          <w:rFonts w:ascii="Times New Roman" w:hAnsi="Times New Roman"/>
          <w:sz w:val="28"/>
          <w:szCs w:val="28"/>
        </w:rPr>
        <w:t xml:space="preserve">Degeneration: </w:t>
      </w:r>
      <w:r>
        <w:rPr>
          <w:rFonts w:ascii="Times New Roman" w:hAnsi="Times New Roman"/>
          <w:b w:val="false"/>
          <w:bCs w:val="false"/>
          <w:sz w:val="28"/>
          <w:szCs w:val="28"/>
        </w:rPr>
        <w:t>Progressive deterioration or loss of structure and function, especially of cartilage and bone in joints.</w:t>
      </w:r>
    </w:p>
    <w:p>
      <w:pPr>
        <w:pStyle w:val="BodyText"/>
        <w:bidi w:val="0"/>
        <w:spacing w:lineRule="auto" w:line="360"/>
        <w:jc w:val="both"/>
        <w:rPr>
          <w:rFonts w:ascii="Times New Roman" w:hAnsi="Times New Roman"/>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color w:val="000000"/>
          <w:sz w:val="28"/>
          <w:szCs w:val="28"/>
        </w:rPr>
        <w:t>EPIDEMIOLOGY</w:t>
      </w:r>
    </w:p>
    <w:p>
      <w:pPr>
        <w:pStyle w:val="BodyText"/>
        <w:bidi w:val="0"/>
        <w:spacing w:lineRule="auto" w:line="360"/>
        <w:jc w:val="both"/>
        <w:rPr>
          <w:rFonts w:ascii="Times New Roman" w:hAnsi="Times New Roman"/>
          <w:sz w:val="28"/>
          <w:szCs w:val="28"/>
        </w:rPr>
      </w:pPr>
      <w:bookmarkStart w:id="0" w:name="Par13"/>
      <w:bookmarkEnd w:id="0"/>
      <w:r>
        <w:rPr>
          <w:rFonts w:ascii="Times New Roman" w:hAnsi="Times New Roman"/>
          <w:b w:val="false"/>
          <w:i w:val="false"/>
          <w:caps w:val="false"/>
          <w:smallCaps w:val="false"/>
          <w:color w:val="1B1B1B"/>
          <w:spacing w:val="0"/>
          <w:sz w:val="28"/>
          <w:szCs w:val="28"/>
        </w:rPr>
        <w:t>Osteoarthritis (OA) is a chronic degenerative disease of the articular cartilages of synovial joints. The knee is the most frequently affected joint, followed by the hand and hip. The combined impact of knee and hip OA was ranked as the eleventh leading cause of disability out of 291 diseases, globally(</w:t>
      </w:r>
      <w:r>
        <w:rPr>
          <w:rFonts w:ascii="Times New Roman" w:hAnsi="Times New Roman"/>
          <w:sz w:val="28"/>
          <w:szCs w:val="28"/>
        </w:rPr>
        <w:t>Ezinne et al., 2022</w:t>
      </w:r>
      <w:r>
        <w:rPr>
          <w:rFonts w:ascii="Source Sans Pro Web;Helvetica Neue;Bahnschrift;Roboto;Noto Sans;sans-serif" w:hAnsi="Source Sans Pro Web;Helvetica Neue;Bahnschrift;Roboto;Noto Sans;sans-serif"/>
          <w:b w:val="false"/>
          <w:i w:val="false"/>
          <w:caps w:val="false"/>
          <w:smallCaps w:val="false"/>
          <w:color w:val="1B1B1B"/>
          <w:spacing w:val="0"/>
          <w:sz w:val="28"/>
          <w:szCs w:val="28"/>
        </w:rPr>
        <w:t>)</w:t>
      </w:r>
      <w:r>
        <w:rPr>
          <w:rFonts w:ascii="Times New Roman" w:hAnsi="Times New Roman"/>
          <w:b w:val="false"/>
          <w:i w:val="false"/>
          <w:caps w:val="false"/>
          <w:smallCaps w:val="false"/>
          <w:color w:val="1B1B1B"/>
          <w:spacing w:val="0"/>
          <w:sz w:val="28"/>
          <w:szCs w:val="28"/>
        </w:rPr>
        <w:t>. The most common symptoms of OA are joint pain and stiffness. The symptoms may be asymmetric at onset, but the majority of the sufferers will eventually develop bilateral OA. Each additional joint affected by OA results in a decrease in physical function, and an increase in psychological distress and overall disease burden.</w:t>
      </w:r>
    </w:p>
    <w:p>
      <w:pPr>
        <w:pStyle w:val="BodyText"/>
        <w:widowControl/>
        <w:spacing w:lineRule="auto" w:line="360" w:before="450" w:after="0"/>
        <w:ind w:hanging="0" w:left="0" w:right="0"/>
        <w:jc w:val="both"/>
        <w:rPr>
          <w:rFonts w:ascii="Times New Roman" w:hAnsi="Times New Roman"/>
          <w:sz w:val="28"/>
          <w:szCs w:val="28"/>
        </w:rPr>
      </w:pPr>
      <w:bookmarkStart w:id="1" w:name="Par14"/>
      <w:bookmarkEnd w:id="1"/>
      <w:r>
        <w:rPr>
          <w:rFonts w:ascii="Times New Roman" w:hAnsi="Times New Roman"/>
          <w:b w:val="false"/>
          <w:i w:val="false"/>
          <w:caps w:val="false"/>
          <w:smallCaps w:val="false"/>
          <w:color w:val="1B1B1B"/>
          <w:spacing w:val="0"/>
          <w:sz w:val="28"/>
          <w:szCs w:val="28"/>
        </w:rPr>
        <w:t>As of 2019, the global cases of the knee and hip OA were approximately 364.6 million and 33 million, respectively, with an estimated annual increase rate of 0.3% for both types. A recent systematic review reported the pooled global prevalence of knee OA in individuals aged 40 years and above as 22·9%, while 19.6 to 20.6% were reported by independent studies conducted among Nigerians of the same age range(</w:t>
      </w:r>
      <w:r>
        <w:rPr>
          <w:rFonts w:ascii="Times New Roman" w:hAnsi="Times New Roman"/>
          <w:sz w:val="28"/>
          <w:szCs w:val="28"/>
        </w:rPr>
        <w:t>Akpabio Akpabio et al., 2021)</w:t>
      </w:r>
      <w:r>
        <w:rPr>
          <w:rFonts w:ascii="Times New Roman" w:hAnsi="Times New Roman"/>
          <w:b w:val="false"/>
          <w:i w:val="false"/>
          <w:caps w:val="false"/>
          <w:smallCaps w:val="false"/>
          <w:color w:val="1B1B1B"/>
          <w:spacing w:val="0"/>
          <w:sz w:val="28"/>
          <w:szCs w:val="28"/>
        </w:rPr>
        <w:t>. Nonetheless, a systematic review of OA prevalence in Africa revealed the paucity of data on the prevalence of hip OA in Nigeria. Although the overall prevalence of OA in Nigeria was lower than the global average, the estimated increase in cases from 1999 to 2019 was between 100 and 150%. Therefore, there is a need to examine the OA demographic and disease characteristics in Nigeria and strategize for prevention and care. The care for people with OA in Nigeria starts with general practitioners who make a provisional diagnosis of OA, prescribe medications, and refer the patients to specialists. Specialist care is usually accessible at various tertiary hospitals through the services of consultant orthopaedic doctors who reassess the patients, review their medications, refer them for allied health care such as physiotherapy, and schedule surgery when necessary . Therefore, OA management in Nigeria is mostly biomedical, as most patients do not have access to psychosocial therapy.</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r>
        <w:br w:type="page"/>
      </w:r>
    </w:p>
    <w:p>
      <w:pPr>
        <w:pStyle w:val="Normal"/>
        <w:bidi w:val="0"/>
        <w:spacing w:lineRule="auto" w:line="360" w:before="0" w:after="0"/>
        <w:jc w:val="both"/>
        <w:rPr>
          <w:rFonts w:ascii="Times New Roman" w:hAnsi="Times New Roman"/>
          <w:sz w:val="28"/>
          <w:szCs w:val="28"/>
        </w:rPr>
      </w:pPr>
      <w:r>
        <w:rPr>
          <w:rFonts w:ascii="Times New Roman" w:hAnsi="Times New Roman"/>
          <w:b/>
          <w:bCs/>
          <w:color w:val="000000"/>
          <w:sz w:val="28"/>
          <w:szCs w:val="28"/>
        </w:rPr>
        <w:t>PATHOPHYSIOLOGY</w:t>
      </w:r>
    </w:p>
    <w:p>
      <w:pPr>
        <w:pStyle w:val="BodyText"/>
        <w:bidi w:val="0"/>
        <w:spacing w:lineRule="auto" w:line="36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In healthy joints, two bones articulate with one another separated by shock-absorbing cartilage. Both the cartilage and the bone are important in dissipating the load placed through joints every day. When joints are subjected to large loads or impact, the cartilage and bone may be damaged.</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Numerous repair mechanisms attempt to restore normal function within the damaged joint to ensure the joint continues to dissipate load correctly. This includes cell-mediated remodeling within the architecture of the cartilage and subchondral bone tissues (</w:t>
      </w:r>
      <w:r>
        <w:rPr>
          <w:rFonts w:ascii="Times New Roman" w:hAnsi="Times New Roman"/>
          <w:b w:val="false"/>
          <w:i w:val="false"/>
          <w:caps w:val="false"/>
          <w:smallCaps w:val="false"/>
          <w:color w:val="000000"/>
          <w:spacing w:val="0"/>
          <w:sz w:val="28"/>
          <w:szCs w:val="28"/>
        </w:rPr>
        <w:t>Kuttner and Goldberg, 2012)</w:t>
      </w:r>
      <w:r>
        <w:rPr>
          <w:rFonts w:ascii="Times New Roman" w:hAnsi="Times New Roman"/>
          <w:b w:val="false"/>
          <w:i w:val="false"/>
          <w:caps w:val="false"/>
          <w:smallCaps w:val="false"/>
          <w:color w:val="040819"/>
          <w:spacing w:val="0"/>
          <w:sz w:val="28"/>
          <w:szCs w:val="28"/>
        </w:rPr>
        <w:t>. When the rate of damage exceeds the rate of repair, degeneration of the bone and cartilage ensues and the joint fails to effectively dissipate load.</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This results in a cycle of biomechanical and biochemical degeneration, where the shock-absorbing cartilage is progressively destroyed, exposing the bone to greater load and leading to bone damage (bone marrow lesions). This leads to further loss of cartilage, narrowing of the joint space (the space between the bones) and the overgrowth of bone (osteophyte formation), which causes hard lumps to develop around the joints.</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Joint degeneration results in painful and tender inflammation of the synovial lining of the joint (synovitis) and swelling of the joint (effusion). While the cartilage, bone and synovial lining are important tissues, the whole joint is involved in the pathogenesis.</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Modern imaging techniques, such as magnetic resonance imaging (MRI), have established that the loss of cartilage, bone marrow lesions and synovitis are common in OA and are predictive factors for requiring a joint replacement. MRI-detected synovitis and bone marrow lesions are also associated with OA pain. Synovitis may be present in early cartilage changes to the joint, and there is cellular infiltration with macrophages, activated T and B cells and accompanying vascular proliferation. Inflammatory cytokine levels may also be elevated in the joint, but to a lesser extent than seen in RA.</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sz w:val="28"/>
          <w:szCs w:val="28"/>
        </w:rPr>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bCs/>
          <w:color w:val="000000"/>
          <w:sz w:val="28"/>
          <w:szCs w:val="28"/>
        </w:rPr>
        <w:t>CAUSES</w:t>
      </w:r>
    </w:p>
    <w:p>
      <w:pPr>
        <w:pStyle w:val="BodyText"/>
        <w:bidi w:val="0"/>
        <w:spacing w:lineRule="auto" w:line="36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 xml:space="preserve">There is no single cause of OA, and the exact aetiology of OA is unknown. </w:t>
      </w:r>
      <w:r>
        <w:rPr>
          <w:rFonts w:ascii="Times New Roman" w:hAnsi="Times New Roman"/>
          <w:b w:val="false"/>
          <w:i w:val="false"/>
          <w:caps w:val="false"/>
          <w:smallCaps w:val="false"/>
          <w:color w:val="040819"/>
          <w:spacing w:val="0"/>
          <w:sz w:val="28"/>
          <w:szCs w:val="28"/>
        </w:rPr>
        <w:t>OA can affect weight-bearing and non-weight-bearing joints, and may involve single or multiple joints. Each of these types of OA have their own risk factors and there is currently no validated risk tool for the quantitative prediction of developing OA.</w:t>
      </w:r>
    </w:p>
    <w:p>
      <w:pPr>
        <w:pStyle w:val="BodyText"/>
        <w:widowControl/>
        <w:spacing w:lineRule="auto" w:line="360" w:before="0" w:after="240"/>
        <w:ind w:hanging="0" w:left="0" w:right="0"/>
        <w:jc w:val="both"/>
        <w:rPr>
          <w:rFonts w:ascii="Times New Roman" w:hAnsi="Times New Roman"/>
          <w:sz w:val="28"/>
          <w:szCs w:val="28"/>
        </w:rPr>
      </w:pPr>
      <w:r>
        <w:rPr>
          <w:rFonts w:ascii="Times New Roman" w:hAnsi="Times New Roman"/>
          <w:b w:val="false"/>
          <w:i w:val="false"/>
          <w:caps w:val="false"/>
          <w:smallCaps w:val="false"/>
          <w:color w:val="040819"/>
          <w:spacing w:val="0"/>
          <w:sz w:val="28"/>
          <w:szCs w:val="28"/>
        </w:rPr>
        <w:t xml:space="preserve">Sex hormones may influence the development of hand OA among young women. Women younger than 40 years of age have a lower incidence of hand OA compared with men of the same age; however, over the age of 40 years there is a higher incidence in women. However, to date </w:t>
      </w:r>
      <w:r>
        <w:rPr>
          <w:rFonts w:ascii="Times New Roman" w:hAnsi="Times New Roman"/>
          <w:b/>
          <w:bCs/>
          <w:i w:val="false"/>
          <w:caps w:val="false"/>
          <w:smallCaps w:val="false"/>
          <w:color w:val="040819"/>
          <w:spacing w:val="0"/>
          <w:sz w:val="28"/>
          <w:szCs w:val="28"/>
        </w:rPr>
        <w:t>Hormone Replacement Therapy (HRT)</w:t>
      </w:r>
      <w:r>
        <w:rPr>
          <w:rFonts w:ascii="Times New Roman" w:hAnsi="Times New Roman"/>
          <w:b w:val="false"/>
          <w:i w:val="false"/>
          <w:caps w:val="false"/>
          <w:smallCaps w:val="false"/>
          <w:color w:val="040819"/>
          <w:spacing w:val="0"/>
          <w:sz w:val="28"/>
          <w:szCs w:val="28"/>
        </w:rPr>
        <w:t xml:space="preserve"> studies have not supported this hypothesis, as there was no reduction in hand OA in women who have received HRT. Further research is required to fully evaluate the relationship between female hormones and OA.</w:t>
      </w:r>
    </w:p>
    <w:p>
      <w:pPr>
        <w:pStyle w:val="BodyText"/>
        <w:widowControl/>
        <w:spacing w:lineRule="auto" w:line="360" w:before="0" w:after="240"/>
        <w:ind w:hanging="0" w:left="0" w:right="0"/>
        <w:jc w:val="both"/>
        <w:rPr/>
      </w:pPr>
      <w:r>
        <w:rPr>
          <w:rFonts w:ascii="Times New Roman" w:hAnsi="Times New Roman"/>
          <w:b w:val="false"/>
          <w:i w:val="false"/>
          <w:caps w:val="false"/>
          <w:smallCaps w:val="false"/>
          <w:color w:val="040819"/>
          <w:spacing w:val="0"/>
          <w:sz w:val="28"/>
          <w:szCs w:val="28"/>
        </w:rPr>
        <w:t>Genetic studies have shown that OA is genetically heterogenous, with common gene variants contributing only modestly to the risk of OA. However, studies have suggested there may be genetic variation in the causes of pain among people with OA. The </w:t>
      </w:r>
      <w:r>
        <w:rPr>
          <w:rStyle w:val="Emphasis"/>
          <w:rFonts w:ascii="Times New Roman" w:hAnsi="Times New Roman"/>
          <w:b w:val="false"/>
          <w:i w:val="false"/>
          <w:caps w:val="false"/>
          <w:smallCaps w:val="false"/>
          <w:color w:val="040819"/>
          <w:spacing w:val="0"/>
          <w:sz w:val="28"/>
          <w:szCs w:val="28"/>
        </w:rPr>
        <w:t>SCN9A</w:t>
      </w:r>
      <w:r>
        <w:rPr>
          <w:rFonts w:ascii="Times New Roman" w:hAnsi="Times New Roman"/>
          <w:b w:val="false"/>
          <w:i w:val="false"/>
          <w:caps w:val="false"/>
          <w:smallCaps w:val="false"/>
          <w:color w:val="040819"/>
          <w:spacing w:val="0"/>
          <w:sz w:val="28"/>
          <w:szCs w:val="28"/>
        </w:rPr>
        <w:t> gene is responsible for three inherited human pain disorders (primary erythermalgia, paroxysmal extreme pain disorder and channelopathy-associated insensitivity to pain) and variation at this gene affecting peripheral pain thresholds have been implicated in various forms of chronic pain, including in people with OA.</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RISK FACTORS</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Age</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The normal ageing process is thought to cause increased laxity around joints, reduced joint proprioception, cartilage calcification, and reduced chondrocyte function, all leading to a propensity for osteoarthritis. The Framingham Study found that 27% of those aged 63 to 70 had radiographic evidence of knee osteoarthritis, increasing to 44% in the over 80 age group. Other studies have found that 80% of people over the age of 65 have some radiographic evidence of osteoarthritis (although this may be asymptomatic), but that incidence and prevalence of symptomatic osteoarthritis leveled off or declined in men and women.</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Trauma</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Cruciate, collateral ligament and meniscal tears as well as joint fracture lead to increased risk of osteoarthritis. The Framingham Study found men with a history of knee injury were at a 5–6-fold increased risk of developing osteoarthritis. This usually occurs in a younger age group and can lead to prolonged disability and unemployment. Meniscectomy after a knee injury resulted in an increased risk of developing tibiofemoral osteoarthritis.</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 xml:space="preserve"> </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Occupation</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Osteoarthritis is commoner in those performing heavy physical work, especially if this involves knee bending, squatting, or kneeling. Dockers and miners have been found to have a higher prevalence of knee osteoarthritis than those in sedentary jobs. There is a significant relationship between occupational kneeling and oesteoarthritis.</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Exercise</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Elite athletes who take part in high impact sports do have an increased risk of knee osteoarthritis. Primary quadriceps weakness is a risk factor for its development by decreasing the stability of the joint and reducing the shock absorbing properties of the muscle.</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Gender  and ethnicity</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 xml:space="preserve">Under the age of 50, men have a higher prevalence and incidence than women. However, once over 50, women have a higher overall prevalence and incidence than men. This difference tends to become less marked after the age of 80. A withdrawal from oestrogen at menopause may be a trigger. Although ubiquitous, osteoarthritis is generally commoner in Europeans than in Asians. Osteoarthritis of the hip is more common in Europeans (7%–25%) than in Chinese, Africans from Nigeria and Liberia, and Jamaicans (1%–4%). Osteoarthritis of the hand is more common in European women than in women of Afro-Caribbean descent </w:t>
      </w:r>
      <w:r>
        <w:rPr>
          <w:rFonts w:ascii="Times New Roman" w:hAnsi="Times New Roman"/>
          <w:b w:val="false"/>
          <w:i w:val="false"/>
          <w:caps w:val="false"/>
          <w:smallCaps w:val="false"/>
          <w:color w:val="1B1B1B"/>
          <w:spacing w:val="0"/>
          <w:sz w:val="28"/>
          <w:szCs w:val="28"/>
        </w:rPr>
        <w:t>(</w:t>
      </w:r>
      <w:r>
        <w:rPr>
          <w:rFonts w:ascii="Times New Roman" w:hAnsi="Times New Roman"/>
          <w:color w:val="000000"/>
          <w:sz w:val="28"/>
          <w:szCs w:val="28"/>
        </w:rPr>
        <w:t>Akpabio Akpabio et al., 2021). There is conflicting evidence as to whether oestrogen based hormone replacement therapy protects against large joint osteoarthritis.</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Genetics</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There is increased concordance for osteoarthritis in monozygotic twins compared with dizygotic twins, indicating there is a genetic susceptibility to the disease. Many genes have been linked to osteoarthritis. There is most concordance with chromosomes 2, 4, and 16. Families have been found with rare autosomal dominant patterns of inheritance of osteoarthritis. The defective genes are often coding for structural proteins of the extracellular matrix of the joint and collagen proteins. Children of parents with early onset osteoarthritis are at higher risk of developing it themselves compared with families where this is not the case.</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Obesity</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This is the strongest modifiable risk factor. Three to six times the body weight is transferred across the knee joint during walking. Any increase in weight should be multiplied by this factor to estimate the excess force across the knee joint when an overweight patient walks. The Chingford Study showed that for every two unit increase in body mass index (approximately 5 kg), the odds ratio for developing radiographic knee osteoarthritis increased by 1.36.17 Increasing weight increased the risk of contralateral osteoarthritis of the knee in women with established osteoarthritis of one knee.</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Being overweight at an average age of 36–37 is a risk factor for developing knee osteoarthritis in later life (&gt;70 years of age). Losing 5 kg of weight reduced the risk of symptomatic knee osteoarthritis in women of average height by 50%. Also, increased risk of developing progressive osteoarthritis seems to be apparent in overweight people with localized disease. Studies of proprioception in osteoarthritis have found that it is reduced in an elderly patient group with knee osteoarthritis.</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Diet</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People with vitamin C and vitamin D deficiency stand a risk of progression of knee osteoarthritis. The antioxidant and collagen promoting properties of vitamin C may delay the onset of osteoarthritis. Vitamin D intake and status had no effect on development of knee osteoarthritis but those with low intake and low serum levels had an increased risk of osteoarthritis knee progression. Vitamin E has not been shown to be of benefit.</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Bone density</w:t>
      </w:r>
    </w:p>
    <w:p>
      <w:pPr>
        <w:pStyle w:val="Normal"/>
        <w:bidi w:val="0"/>
        <w:spacing w:lineRule="auto" w:line="360"/>
        <w:jc w:val="both"/>
        <w:rPr>
          <w:rFonts w:ascii="Times New Roman" w:hAnsi="Times New Roman"/>
          <w:sz w:val="28"/>
          <w:szCs w:val="28"/>
        </w:rPr>
      </w:pPr>
      <w:r>
        <w:rPr>
          <w:rFonts w:ascii="Times New Roman" w:hAnsi="Times New Roman"/>
          <w:color w:val="000000"/>
          <w:sz w:val="28"/>
          <w:szCs w:val="28"/>
        </w:rPr>
        <w:t>There is an inverse relationship between bone density and osteoarthritis. Increasing subchondral bone density may lead to increased loading through weight bearing joint cartilage.</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SYMPTOMS</w:t>
      </w:r>
    </w:p>
    <w:p>
      <w:pPr>
        <w:pStyle w:val="BodyText"/>
        <w:bidi w:val="0"/>
        <w:spacing w:lineRule="auto" w:line="360"/>
        <w:jc w:val="both"/>
        <w:rPr>
          <w:rFonts w:ascii="Times New Roman" w:hAnsi="Times New Roman"/>
          <w:sz w:val="28"/>
          <w:szCs w:val="28"/>
        </w:rPr>
      </w:pPr>
      <w:r>
        <w:rPr>
          <w:rFonts w:ascii="Times New Roman" w:hAnsi="Times New Roman"/>
          <w:color w:val="000000"/>
          <w:sz w:val="28"/>
          <w:szCs w:val="28"/>
        </w:rPr>
        <w:t>Osteoarthritis symptoms often develop slowly and worsen over time. Symptoms of osteoarthritis include:</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Pain.</w:t>
      </w:r>
      <w:r>
        <w:rPr>
          <w:rFonts w:ascii="Times New Roman" w:hAnsi="Times New Roman"/>
          <w:sz w:val="28"/>
          <w:szCs w:val="28"/>
        </w:rPr>
        <w:t> Affected joints might hurt during or after movement.</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Stiffness.</w:t>
      </w:r>
      <w:r>
        <w:rPr>
          <w:rFonts w:ascii="Times New Roman" w:hAnsi="Times New Roman"/>
          <w:sz w:val="28"/>
          <w:szCs w:val="28"/>
        </w:rPr>
        <w:t> Joint stiffness might be most noticeable upon awakening or after being inactive.</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Tenderness.</w:t>
      </w:r>
      <w:r>
        <w:rPr>
          <w:rFonts w:ascii="Times New Roman" w:hAnsi="Times New Roman"/>
          <w:sz w:val="28"/>
          <w:szCs w:val="28"/>
        </w:rPr>
        <w:t> Joints might feel tender when you apply light pressure to or near them.</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Loss of flexibility.</w:t>
      </w:r>
      <w:r>
        <w:rPr>
          <w:rFonts w:ascii="Times New Roman" w:hAnsi="Times New Roman"/>
          <w:sz w:val="28"/>
          <w:szCs w:val="28"/>
        </w:rPr>
        <w:t> You might not be able to move your joint through its full range of motion.</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Grating sensation.</w:t>
      </w:r>
      <w:r>
        <w:rPr>
          <w:rFonts w:ascii="Times New Roman" w:hAnsi="Times New Roman"/>
          <w:sz w:val="28"/>
          <w:szCs w:val="28"/>
        </w:rPr>
        <w:t> You might feel a grating sensation when you use the joint, and you might hear popping or crackling.</w:t>
      </w:r>
    </w:p>
    <w:p>
      <w:pPr>
        <w:pStyle w:val="BodyText"/>
        <w:numPr>
          <w:ilvl w:val="0"/>
          <w:numId w:val="1"/>
        </w:numPr>
        <w:tabs>
          <w:tab w:val="clear" w:pos="709"/>
          <w:tab w:val="left" w:pos="0" w:leader="none"/>
        </w:tabs>
        <w:spacing w:lineRule="auto" w:line="360" w:before="0" w:after="0"/>
        <w:ind w:hanging="283" w:left="709" w:right="0"/>
        <w:jc w:val="both"/>
        <w:rPr>
          <w:rFonts w:ascii="Times New Roman" w:hAnsi="Times New Roman"/>
          <w:sz w:val="28"/>
          <w:szCs w:val="28"/>
        </w:rPr>
      </w:pPr>
      <w:r>
        <w:rPr>
          <w:rFonts w:ascii="Times New Roman" w:hAnsi="Times New Roman"/>
          <w:b/>
          <w:sz w:val="28"/>
          <w:szCs w:val="28"/>
        </w:rPr>
        <w:t xml:space="preserve">Bone spurs. </w:t>
      </w:r>
      <w:r>
        <w:rPr>
          <w:rFonts w:ascii="Times New Roman" w:hAnsi="Times New Roman"/>
          <w:b w:val="false"/>
          <w:bCs w:val="false"/>
          <w:sz w:val="28"/>
          <w:szCs w:val="28"/>
        </w:rPr>
        <w:t>E</w:t>
      </w:r>
      <w:r>
        <w:rPr>
          <w:rFonts w:ascii="Times New Roman" w:hAnsi="Times New Roman"/>
          <w:sz w:val="28"/>
          <w:szCs w:val="28"/>
        </w:rPr>
        <w:t>xtra bits of bone, which feel like hard lumps, can form around the affected joint.</w:t>
      </w:r>
    </w:p>
    <w:p>
      <w:pPr>
        <w:pStyle w:val="BodyText"/>
        <w:numPr>
          <w:ilvl w:val="0"/>
          <w:numId w:val="1"/>
        </w:numPr>
        <w:tabs>
          <w:tab w:val="clear" w:pos="709"/>
          <w:tab w:val="left" w:pos="0" w:leader="none"/>
        </w:tabs>
        <w:spacing w:lineRule="auto" w:line="360"/>
        <w:ind w:hanging="283" w:left="709" w:right="0"/>
        <w:jc w:val="both"/>
        <w:rPr>
          <w:rFonts w:ascii="Times New Roman" w:hAnsi="Times New Roman"/>
          <w:sz w:val="28"/>
          <w:szCs w:val="28"/>
        </w:rPr>
      </w:pPr>
      <w:r>
        <w:rPr>
          <w:rFonts w:ascii="Times New Roman" w:hAnsi="Times New Roman"/>
          <w:b/>
          <w:sz w:val="28"/>
          <w:szCs w:val="28"/>
        </w:rPr>
        <w:t>Swelling.</w:t>
      </w:r>
      <w:r>
        <w:rPr>
          <w:rFonts w:ascii="Times New Roman" w:hAnsi="Times New Roman"/>
          <w:sz w:val="28"/>
          <w:szCs w:val="28"/>
        </w:rPr>
        <w:t> This might be caused by soft tissue inflammation around the joint.</w:t>
      </w:r>
    </w:p>
    <w:p>
      <w:pPr>
        <w:pStyle w:val="Normal"/>
        <w:bidi w:val="0"/>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DIAGNOSIS</w:t>
      </w:r>
    </w:p>
    <w:p>
      <w:pPr>
        <w:pStyle w:val="BodyText"/>
        <w:bidi w:val="0"/>
        <w:spacing w:lineRule="auto" w:line="360"/>
        <w:jc w:val="both"/>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000000"/>
          <w:spacing w:val="0"/>
          <w:sz w:val="28"/>
          <w:szCs w:val="28"/>
        </w:rPr>
        <w:t>There is no single sign, symptom, or test that can diagnose OA. Instead, the diagnosis is based on several factors, including the person's age, history, and symptoms.</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For example, knee OA can usually be diagnosed in a person over the age of 45 years if the following are present:</w:t>
      </w:r>
    </w:p>
    <w:p>
      <w:pPr>
        <w:pStyle w:val="BodyText"/>
        <w:widowControl/>
        <w:spacing w:lineRule="auto" w:line="480" w:before="0" w:after="0"/>
        <w:ind w:hanging="0" w:left="0" w:right="0"/>
        <w:jc w:val="left"/>
        <w:rPr>
          <w:rFonts w:ascii="Times New Roman" w:hAnsi="Times New Roman"/>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1. Pain predominantly when lifting heavy materials and moving the knee orwhen using the stairs.</w:t>
      </w:r>
    </w:p>
    <w:p>
      <w:pPr>
        <w:pStyle w:val="BodyText"/>
        <w:widowControl/>
        <w:spacing w:lineRule="auto" w:line="480" w:before="0" w:after="0"/>
        <w:ind w:hanging="0" w:left="0" w:right="0"/>
        <w:jc w:val="left"/>
        <w:rPr>
          <w:rFonts w:ascii="Times New Roman" w:hAnsi="Times New Roman"/>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2. Early morning stiffness lasting for just a short time (less than 30 minutes)</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Other features on a person's history that support the diagnosis of knee OA include a crackling or grating sensation in the knee when going up and down stairs and the slow, insidious onset of symptoms, rather than symptoms coming on suddenly.</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A physical examination by a health care provider can identify features consistent with OA and rule out findings that might suggest another diagnosis. For example, while low-grade inflammation is present in oesstroarthritis, it does not cause high levels of inflammation (ie, the joint is not hot to the touch). Findings of marked inflammation, including a joint that is hot to the touch, has redness, or with a large joint effusion, generally merit further evaluation by a health care provider for another form of arthritis.</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Similar symptoms to the above can affect other joints, such as the hands and the hips. As the hip joint is deep inside the body, bony enlargement of this joint is not visible, whereas bony enlargement of finger joints is easy to see. Laboratory tests and imaging studies (such as X-rays) are sometimes done if OA is suspected, particularly if the person's symptoms are atypical, but these tests are not always required to diagnose OA.</w:t>
      </w:r>
    </w:p>
    <w:p>
      <w:pPr>
        <w:pStyle w:val="BodyText"/>
        <w:widowControl/>
        <w:spacing w:lineRule="auto" w:line="384" w:before="0" w:after="0"/>
        <w:ind w:hanging="0" w:left="0" w:right="0"/>
        <w:jc w:val="left"/>
        <w:rPr>
          <w:rFonts w:ascii="Times New Roman" w:hAnsi="Times New Roman"/>
          <w:b w:val="false"/>
          <w:i w:val="false"/>
          <w:i w:val="false"/>
          <w:caps w:val="false"/>
          <w:smallCaps w:val="false"/>
          <w:color w:val="232323"/>
          <w:spacing w:val="0"/>
          <w:sz w:val="28"/>
          <w:szCs w:val="28"/>
        </w:rPr>
      </w:pPr>
      <w:bookmarkStart w:id="2" w:name="xhash_H20"/>
      <w:bookmarkEnd w:id="2"/>
      <w:r>
        <w:rPr>
          <w:rFonts w:ascii="Times New Roman" w:hAnsi="Times New Roman"/>
          <w:b w:val="false"/>
          <w:i w:val="false"/>
          <w:caps w:val="false"/>
          <w:smallCaps w:val="false"/>
          <w:color w:val="232323"/>
          <w:spacing w:val="0"/>
          <w:sz w:val="28"/>
          <w:szCs w:val="28"/>
        </w:rPr>
        <w:t>Laboratory tests — Laboratory tests may be used to rule out other diseases if a health care provider suspects that another condition may be causing symptoms.</w:t>
      </w:r>
    </w:p>
    <w:p>
      <w:pPr>
        <w:pStyle w:val="BodyText"/>
        <w:widowControl/>
        <w:spacing w:lineRule="auto" w:line="384" w:before="0" w:after="0"/>
        <w:ind w:hanging="0" w:left="0" w:right="0"/>
        <w:jc w:val="left"/>
        <w:rPr>
          <w:rFonts w:ascii="Times New Roman" w:hAnsi="Times New Roman"/>
          <w:b w:val="false"/>
          <w:i w:val="false"/>
          <w:i w:val="false"/>
          <w:caps w:val="false"/>
          <w:smallCaps w:val="false"/>
          <w:color w:val="232323"/>
          <w:spacing w:val="0"/>
          <w:sz w:val="28"/>
          <w:szCs w:val="28"/>
        </w:rPr>
      </w:pPr>
      <w:bookmarkStart w:id="3" w:name="xhash_H21"/>
      <w:bookmarkEnd w:id="3"/>
      <w:r>
        <w:rPr>
          <w:rFonts w:ascii="Times New Roman" w:hAnsi="Times New Roman"/>
          <w:b w:val="false"/>
          <w:i w:val="false"/>
          <w:caps w:val="false"/>
          <w:smallCaps w:val="false"/>
          <w:color w:val="232323"/>
          <w:spacing w:val="0"/>
          <w:sz w:val="28"/>
          <w:szCs w:val="28"/>
        </w:rPr>
        <w:t>Imaging tests — Imaging with X-rays is not a routine part of making a diagnosis. It can be helpful when there is lack of clarity around a source of joint pain other than OA. However, imaging tests are required prior to joint replacement surgery to help stage and guide the procedure.</w:t>
      </w:r>
    </w:p>
    <w:p>
      <w:pPr>
        <w:pStyle w:val="BodyText"/>
        <w:widowControl/>
        <w:spacing w:lineRule="auto" w:line="384" w:before="0" w:after="240"/>
        <w:ind w:hanging="0" w:left="0" w:right="0"/>
        <w:jc w:val="left"/>
        <w:rPr>
          <w:rFonts w:ascii="Times New Roman" w:hAnsi="Times New Roman"/>
          <w:b w:val="false"/>
          <w:i w:val="false"/>
          <w:i w:val="false"/>
          <w:caps w:val="false"/>
          <w:smallCaps w:val="false"/>
          <w:color w:val="232323"/>
          <w:spacing w:val="0"/>
          <w:sz w:val="28"/>
          <w:szCs w:val="28"/>
        </w:rPr>
      </w:pPr>
      <w:r>
        <w:rPr>
          <w:rFonts w:ascii="Times New Roman" w:hAnsi="Times New Roman"/>
          <w:b w:val="false"/>
          <w:i w:val="false"/>
          <w:caps w:val="false"/>
          <w:smallCaps w:val="false"/>
          <w:color w:val="232323"/>
          <w:spacing w:val="0"/>
          <w:sz w:val="28"/>
          <w:szCs w:val="28"/>
        </w:rPr>
        <w:t>Other types of imaging, such as ultrasound and magnetic resonance imaging (MRI), are usually not necessary to make a diagnosis but may be used if the diagnosis is uncertain.</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MANAGEMENT</w:t>
      </w:r>
    </w:p>
    <w:p>
      <w:pPr>
        <w:pStyle w:val="BodyText"/>
        <w:bidi w:val="0"/>
        <w:spacing w:lineRule="auto" w:line="36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Current treatment for OA is limited to control of symptoms. At this time, there are no pharmacological agents capable of retarding the progression of OA or preventing  OA. This is a fundamental and important area of current research. In 2011, treatment is focused on relief of pain,  maintenance of quality of life, and preservation of functional independence (Zhang W et al., 2018).</w:t>
      </w:r>
    </w:p>
    <w:p>
      <w:pPr>
        <w:pStyle w:val="BodyText"/>
        <w:bidi w:val="0"/>
        <w:spacing w:lineRule="auto" w:line="360"/>
        <w:jc w:val="both"/>
        <w:rPr/>
      </w:pPr>
      <w:r>
        <w:rPr>
          <w:rStyle w:val="Strong"/>
          <w:rFonts w:ascii="Times New Roman" w:hAnsi="Times New Roman"/>
          <w:b/>
          <w:i w:val="false"/>
          <w:caps w:val="false"/>
          <w:smallCaps w:val="false"/>
          <w:color w:val="333333"/>
          <w:spacing w:val="0"/>
          <w:sz w:val="28"/>
          <w:szCs w:val="28"/>
        </w:rPr>
        <w:t>NON-PHARMACOLOGICAL MANAGEMENT</w:t>
      </w:r>
    </w:p>
    <w:p>
      <w:pPr>
        <w:pStyle w:val="Heading4"/>
        <w:widowControl/>
        <w:spacing w:lineRule="auto" w:line="360" w:before="0" w:after="420"/>
        <w:ind w:hanging="0" w:left="0" w:right="0"/>
        <w:jc w:val="both"/>
        <w:rPr>
          <w:rFonts w:ascii="Times New Roman" w:hAnsi="Times New Roman"/>
          <w:b/>
          <w:bCs/>
          <w:i w:val="false"/>
          <w:i w:val="false"/>
          <w:caps w:val="false"/>
          <w:smallCaps w:val="false"/>
          <w:color w:val="333333"/>
          <w:spacing w:val="0"/>
          <w:sz w:val="28"/>
          <w:szCs w:val="28"/>
        </w:rPr>
      </w:pPr>
      <w:r>
        <w:rPr>
          <w:rFonts w:ascii="Times New Roman" w:hAnsi="Times New Roman"/>
          <w:b/>
          <w:bCs/>
          <w:i w:val="false"/>
          <w:caps w:val="false"/>
          <w:smallCaps w:val="false"/>
          <w:color w:val="333333"/>
          <w:spacing w:val="0"/>
          <w:sz w:val="28"/>
          <w:szCs w:val="28"/>
        </w:rPr>
        <w:t>1. Weight Management</w:t>
      </w:r>
    </w:p>
    <w:p>
      <w:pPr>
        <w:pStyle w:val="BodyText"/>
        <w:spacing w:lineRule="auto" w:line="360" w:before="0" w:after="420"/>
        <w:jc w:val="both"/>
        <w:rPr>
          <w:rFonts w:ascii="Times New Roman" w:hAnsi="Times New Roman"/>
          <w:color w:val="333333"/>
          <w:sz w:val="28"/>
          <w:szCs w:val="28"/>
        </w:rPr>
      </w:pPr>
      <w:r>
        <w:rPr>
          <w:rFonts w:ascii="Times New Roman" w:hAnsi="Times New Roman"/>
          <w:color w:val="333333"/>
          <w:sz w:val="28"/>
          <w:szCs w:val="28"/>
        </w:rPr>
        <w:t xml:space="preserve">Excess body weight is a major modifiable risk factor for osteoarthritis, particularly in weight-bearing joints such as the knees and hips. Each additional kilogram of body weight adds approximately 4 kg of pressure on the knees during walking. Therefore, </w:t>
      </w:r>
      <w:r>
        <w:rPr>
          <w:rStyle w:val="Strong"/>
          <w:rFonts w:ascii="Times New Roman" w:hAnsi="Times New Roman"/>
          <w:b w:val="false"/>
          <w:bCs w:val="false"/>
          <w:color w:val="333333"/>
          <w:sz w:val="28"/>
          <w:szCs w:val="28"/>
        </w:rPr>
        <w:t>weight loss</w:t>
      </w:r>
      <w:r>
        <w:rPr>
          <w:rFonts w:ascii="Times New Roman" w:hAnsi="Times New Roman"/>
          <w:b w:val="false"/>
          <w:bCs w:val="false"/>
          <w:color w:val="333333"/>
          <w:sz w:val="28"/>
          <w:szCs w:val="28"/>
        </w:rPr>
        <w:t xml:space="preserve"> </w:t>
      </w:r>
      <w:r>
        <w:rPr>
          <w:rFonts w:ascii="Times New Roman" w:hAnsi="Times New Roman"/>
          <w:color w:val="333333"/>
          <w:sz w:val="28"/>
          <w:szCs w:val="28"/>
        </w:rPr>
        <w:t>is essential for reducing joint stress and alleviating symptoms. Studies have shown that even modest weight loss (5-10% of body weight) can result in significant improvement in pain and function. Weight management should involve a combination of dietary modifications and increased physical activity. Patients may benefit from consultation with a dietitian for personalized nutrition plans.</w:t>
      </w:r>
    </w:p>
    <w:p>
      <w:pPr>
        <w:pStyle w:val="Heading4"/>
        <w:spacing w:lineRule="auto" w:line="360" w:before="0" w:after="420"/>
        <w:jc w:val="both"/>
        <w:rPr>
          <w:rFonts w:ascii="Times New Roman" w:hAnsi="Times New Roman"/>
          <w:b/>
          <w:bCs/>
          <w:color w:val="333333"/>
          <w:sz w:val="28"/>
          <w:szCs w:val="28"/>
        </w:rPr>
      </w:pPr>
      <w:r>
        <w:rPr>
          <w:rFonts w:ascii="Times New Roman" w:hAnsi="Times New Roman"/>
          <w:b/>
          <w:bCs/>
          <w:color w:val="333333"/>
          <w:sz w:val="28"/>
          <w:szCs w:val="28"/>
        </w:rPr>
        <w:t>2. Exercise</w:t>
      </w:r>
    </w:p>
    <w:p>
      <w:pPr>
        <w:pStyle w:val="BodyText"/>
        <w:spacing w:lineRule="auto" w:line="360" w:before="0" w:after="420"/>
        <w:jc w:val="both"/>
        <w:rPr>
          <w:rFonts w:ascii="Times New Roman" w:hAnsi="Times New Roman"/>
          <w:color w:val="333333"/>
          <w:sz w:val="28"/>
          <w:szCs w:val="28"/>
        </w:rPr>
      </w:pPr>
      <w:r>
        <w:rPr>
          <w:rFonts w:ascii="Times New Roman" w:hAnsi="Times New Roman"/>
          <w:color w:val="333333"/>
          <w:sz w:val="28"/>
          <w:szCs w:val="28"/>
        </w:rPr>
        <w:t xml:space="preserve">Exercise is a cornerstone of OA management. Regular physical activity helps to strengthen the muscles around the joints, maintain joint mobility, and improve overall physical function. The types of recommended exercises for the management of </w:t>
      </w:r>
      <w:r>
        <w:rPr>
          <w:rFonts w:ascii="Times New Roman" w:hAnsi="Times New Roman"/>
          <w:i w:val="false"/>
          <w:iCs w:val="false"/>
          <w:color w:val="333333"/>
          <w:sz w:val="28"/>
          <w:szCs w:val="28"/>
        </w:rPr>
        <w:t>osteoarthritis includes a</w:t>
      </w:r>
      <w:r>
        <w:rPr>
          <w:rStyle w:val="Emphasis"/>
          <w:rFonts w:ascii="Times New Roman" w:hAnsi="Times New Roman"/>
          <w:i w:val="false"/>
          <w:iCs w:val="false"/>
          <w:color w:val="333333"/>
          <w:sz w:val="28"/>
          <w:szCs w:val="28"/>
        </w:rPr>
        <w:t>erobic exercises</w:t>
      </w:r>
      <w:r>
        <w:rPr>
          <w:rFonts w:ascii="Times New Roman" w:hAnsi="Times New Roman"/>
          <w:i w:val="false"/>
          <w:iCs w:val="false"/>
          <w:color w:val="333333"/>
          <w:sz w:val="28"/>
          <w:szCs w:val="28"/>
        </w:rPr>
        <w:t>: such as walking, cycling, and swimming, s</w:t>
      </w:r>
      <w:r>
        <w:rPr>
          <w:rStyle w:val="Emphasis"/>
          <w:rFonts w:ascii="Times New Roman" w:hAnsi="Times New Roman"/>
          <w:i w:val="false"/>
          <w:iCs w:val="false"/>
          <w:color w:val="333333"/>
          <w:sz w:val="28"/>
          <w:szCs w:val="28"/>
        </w:rPr>
        <w:t>trengthening exercises</w:t>
      </w:r>
      <w:r>
        <w:rPr>
          <w:rFonts w:ascii="Times New Roman" w:hAnsi="Times New Roman"/>
          <w:i w:val="false"/>
          <w:iCs w:val="false"/>
          <w:color w:val="333333"/>
          <w:sz w:val="28"/>
          <w:szCs w:val="28"/>
        </w:rPr>
        <w:t>, f</w:t>
      </w:r>
      <w:r>
        <w:rPr>
          <w:rStyle w:val="Emphasis"/>
          <w:rFonts w:ascii="Times New Roman" w:hAnsi="Times New Roman"/>
          <w:i w:val="false"/>
          <w:iCs w:val="false"/>
          <w:color w:val="333333"/>
          <w:sz w:val="28"/>
          <w:szCs w:val="28"/>
        </w:rPr>
        <w:t xml:space="preserve">lexibility and stretching, balance and training, etc. </w:t>
      </w:r>
      <w:r>
        <w:rPr>
          <w:rFonts w:ascii="Times New Roman" w:hAnsi="Times New Roman"/>
          <w:i w:val="false"/>
          <w:iCs w:val="false"/>
          <w:color w:val="333333"/>
          <w:sz w:val="28"/>
          <w:szCs w:val="28"/>
        </w:rPr>
        <w:t>Programs should be individualized and, where possible, designed by physiotherapists to ensure safety and effectiveness.</w:t>
      </w:r>
    </w:p>
    <w:p>
      <w:pPr>
        <w:pStyle w:val="Heading4"/>
        <w:spacing w:lineRule="auto" w:line="360" w:before="0" w:after="420"/>
        <w:jc w:val="both"/>
        <w:rPr/>
      </w:pPr>
      <w:r>
        <w:rPr>
          <w:rFonts w:ascii="Times New Roman" w:hAnsi="Times New Roman"/>
          <w:b/>
          <w:bCs/>
          <w:color w:val="333333"/>
          <w:sz w:val="28"/>
          <w:szCs w:val="28"/>
        </w:rPr>
        <w:t>3. Massage Therapy</w:t>
      </w:r>
    </w:p>
    <w:p>
      <w:pPr>
        <w:pStyle w:val="BodyText"/>
        <w:spacing w:lineRule="auto" w:line="360" w:before="0" w:after="420"/>
        <w:jc w:val="both"/>
        <w:rPr/>
      </w:pPr>
      <w:r>
        <w:rPr>
          <w:rFonts w:ascii="Times New Roman" w:hAnsi="Times New Roman"/>
          <w:color w:val="333333"/>
          <w:sz w:val="28"/>
          <w:szCs w:val="28"/>
        </w:rPr>
        <w:t>Massage therapy is commonly used as an adjunct treatment for OA to relieve muscle tension, improve circulation, and promote relaxation. Massage may help reduce pain by stimulating blood flow and decreasing inflammation in soft tissues surrounding the affected joints. Techniques such as Swedish massage or myofascial release may be beneficial. It should be used with caution in individuals with fragile skin or circulatory problems and should not replace core therapies like exercise.</w:t>
      </w:r>
    </w:p>
    <w:p>
      <w:pPr>
        <w:pStyle w:val="Heading4"/>
        <w:spacing w:lineRule="auto" w:line="360" w:before="0" w:after="420"/>
        <w:jc w:val="both"/>
        <w:rPr>
          <w:rFonts w:ascii="Times New Roman" w:hAnsi="Times New Roman"/>
          <w:b/>
          <w:bCs/>
          <w:color w:val="333333"/>
          <w:sz w:val="28"/>
          <w:szCs w:val="28"/>
        </w:rPr>
      </w:pPr>
      <w:r>
        <w:rPr>
          <w:rFonts w:ascii="Times New Roman" w:hAnsi="Times New Roman"/>
          <w:b/>
          <w:bCs/>
          <w:color w:val="333333"/>
          <w:sz w:val="28"/>
          <w:szCs w:val="28"/>
        </w:rPr>
        <w:t>4. Heat and Cold Therapy</w:t>
      </w:r>
    </w:p>
    <w:p>
      <w:pPr>
        <w:pStyle w:val="BodyText"/>
        <w:spacing w:lineRule="auto" w:line="360" w:before="0" w:after="420"/>
        <w:jc w:val="both"/>
        <w:rPr>
          <w:rFonts w:ascii="Times New Roman" w:hAnsi="Times New Roman"/>
          <w:color w:val="333333"/>
          <w:sz w:val="28"/>
          <w:szCs w:val="28"/>
        </w:rPr>
      </w:pPr>
      <w:r>
        <w:rPr>
          <w:rFonts w:ascii="Times New Roman" w:hAnsi="Times New Roman"/>
          <w:color w:val="333333"/>
          <w:sz w:val="28"/>
          <w:szCs w:val="28"/>
        </w:rPr>
        <w:t xml:space="preserve">Thermal therapies are simple, cost-effective methods that can help manage osteoarthritis symptoms. </w:t>
      </w:r>
      <w:r>
        <w:rPr>
          <w:rStyle w:val="Strong"/>
          <w:rFonts w:ascii="Times New Roman" w:hAnsi="Times New Roman"/>
          <w:b w:val="false"/>
          <w:bCs w:val="false"/>
          <w:color w:val="333333"/>
          <w:sz w:val="28"/>
          <w:szCs w:val="28"/>
        </w:rPr>
        <w:t>Heat Therapy h</w:t>
      </w:r>
      <w:r>
        <w:rPr>
          <w:rFonts w:ascii="Times New Roman" w:hAnsi="Times New Roman"/>
          <w:color w:val="333333"/>
          <w:sz w:val="28"/>
          <w:szCs w:val="28"/>
        </w:rPr>
        <w:t xml:space="preserve">elps to reduce stiffness and muscle spasms, promotes relaxation and increases blood flow. Methods of administering heat therapy are: warm showers, heating pads, or hot water bottles. </w:t>
      </w:r>
      <w:r>
        <w:rPr>
          <w:rStyle w:val="Strong"/>
          <w:rFonts w:ascii="Times New Roman" w:hAnsi="Times New Roman"/>
          <w:b w:val="false"/>
          <w:bCs w:val="false"/>
          <w:color w:val="333333"/>
          <w:sz w:val="28"/>
          <w:szCs w:val="28"/>
        </w:rPr>
        <w:t>Cold Therapy r</w:t>
      </w:r>
      <w:r>
        <w:rPr>
          <w:rFonts w:ascii="Times New Roman" w:hAnsi="Times New Roman"/>
          <w:color w:val="333333"/>
          <w:sz w:val="28"/>
          <w:szCs w:val="28"/>
        </w:rPr>
        <w:t>educes inflammation, swelling, and numbs sharp pain. Methods of administering cold therapy are: ice packs or cold compresses applied for 15–20 minutes. Patients should be educated on the safe use of heat and cold applications to avoid burns or frostbite.</w:t>
      </w:r>
    </w:p>
    <w:p>
      <w:pPr>
        <w:pStyle w:val="Heading4"/>
        <w:spacing w:lineRule="auto" w:line="360" w:before="0" w:after="420"/>
        <w:jc w:val="both"/>
        <w:rPr>
          <w:rFonts w:ascii="Times New Roman" w:hAnsi="Times New Roman"/>
          <w:b/>
          <w:bCs/>
          <w:color w:val="333333"/>
          <w:sz w:val="28"/>
          <w:szCs w:val="28"/>
        </w:rPr>
      </w:pPr>
      <w:r>
        <w:rPr>
          <w:rFonts w:ascii="Times New Roman" w:hAnsi="Times New Roman"/>
          <w:b/>
          <w:bCs/>
          <w:color w:val="333333"/>
          <w:sz w:val="28"/>
          <w:szCs w:val="28"/>
        </w:rPr>
        <w:t>5. Patient Education</w:t>
      </w:r>
    </w:p>
    <w:p>
      <w:pPr>
        <w:pStyle w:val="BodyText"/>
        <w:spacing w:lineRule="auto" w:line="360" w:before="0" w:after="420"/>
        <w:jc w:val="both"/>
        <w:rPr>
          <w:rFonts w:ascii="Times New Roman" w:hAnsi="Times New Roman"/>
          <w:color w:val="333333"/>
          <w:sz w:val="28"/>
          <w:szCs w:val="28"/>
        </w:rPr>
      </w:pPr>
      <w:r>
        <w:rPr>
          <w:rFonts w:ascii="Times New Roman" w:hAnsi="Times New Roman"/>
          <w:color w:val="333333"/>
          <w:sz w:val="28"/>
          <w:szCs w:val="28"/>
        </w:rPr>
        <w:t>Educating patients about osteoarthritis is essential for effective self-management. It helps patients understand the nature and progression of OA, the importance of lifestyle modifications, adhere to instruction on joint protection techniques and proper body mechanics. Education can be provided through individual counseling, group sessions, printed materials, and digital platforms. Empowering patients with knowledge helps improve adherence to treatment plans and fosters active participation in their own care, leading to better health outcomes.</w:t>
      </w:r>
    </w:p>
    <w:p>
      <w:pPr>
        <w:pStyle w:val="Normal"/>
        <w:bidi w:val="0"/>
        <w:spacing w:lineRule="auto" w:line="360"/>
        <w:jc w:val="both"/>
        <w:rPr>
          <w:rFonts w:ascii="Times New Roman" w:hAnsi="Times New Roman"/>
          <w:sz w:val="28"/>
          <w:szCs w:val="28"/>
        </w:rPr>
      </w:pPr>
      <w:r>
        <w:rPr>
          <w:rFonts w:ascii="Times New Roman" w:hAnsi="Times New Roman"/>
          <w:b/>
          <w:bCs/>
          <w:color w:val="000000"/>
          <w:sz w:val="28"/>
          <w:szCs w:val="28"/>
        </w:rPr>
        <w:t>PHARMACOLOGICAL MANAGEMENT</w:t>
      </w:r>
    </w:p>
    <w:p>
      <w:pPr>
        <w:pStyle w:val="BodyText"/>
        <w:widowControl/>
        <w:spacing w:lineRule="auto" w:line="360" w:before="0" w:after="420"/>
        <w:ind w:hanging="0" w:left="0" w:right="0"/>
        <w:jc w:val="both"/>
        <w:rPr/>
      </w:pPr>
      <w:r>
        <w:rPr>
          <w:rStyle w:val="Strong"/>
          <w:rFonts w:ascii="Times New Roman" w:hAnsi="Times New Roman"/>
          <w:b/>
          <w:i w:val="false"/>
          <w:caps w:val="false"/>
          <w:smallCaps w:val="false"/>
          <w:color w:val="333333"/>
          <w:spacing w:val="0"/>
          <w:sz w:val="28"/>
          <w:szCs w:val="28"/>
        </w:rPr>
        <w:t>1. </w:t>
      </w:r>
      <w:r>
        <w:rPr>
          <w:rStyle w:val="Strong"/>
          <w:rFonts w:ascii="Times New Roman" w:hAnsi="Times New Roman"/>
          <w:b/>
          <w:i w:val="false"/>
          <w:caps w:val="false"/>
          <w:smallCaps w:val="false"/>
          <w:color w:val="333333"/>
          <w:spacing w:val="0"/>
          <w:sz w:val="28"/>
          <w:szCs w:val="28"/>
          <w:u w:val="none"/>
        </w:rPr>
        <w:t>Acetaminophin</w:t>
      </w:r>
      <w:r>
        <w:rPr>
          <w:rStyle w:val="Strong"/>
          <w:rFonts w:ascii="Times New Roman" w:hAnsi="Times New Roman"/>
          <w:b/>
          <w:i w:val="false"/>
          <w:caps w:val="false"/>
          <w:smallCaps w:val="false"/>
          <w:color w:val="333333"/>
          <w:spacing w:val="0"/>
          <w:sz w:val="28"/>
          <w:szCs w:val="28"/>
        </w:rPr>
        <w:t>:</w:t>
      </w:r>
      <w:r>
        <w:rPr>
          <w:rFonts w:ascii="Times New Roman" w:hAnsi="Times New Roman"/>
          <w:b w:val="false"/>
          <w:i w:val="false"/>
          <w:caps w:val="false"/>
          <w:smallCaps w:val="false"/>
          <w:color w:val="333333"/>
          <w:spacing w:val="0"/>
          <w:sz w:val="28"/>
          <w:szCs w:val="28"/>
        </w:rPr>
        <w:t> </w:t>
      </w:r>
      <w:r>
        <w:rPr>
          <w:rFonts w:ascii="Times New Roman" w:hAnsi="Times New Roman"/>
          <w:color w:val="333333"/>
          <w:sz w:val="28"/>
          <w:szCs w:val="28"/>
        </w:rPr>
        <w:t xml:space="preserve">Acetaminophen is often recommended as the </w:t>
      </w:r>
      <w:r>
        <w:rPr>
          <w:rStyle w:val="Strong"/>
          <w:rFonts w:ascii="Times New Roman" w:hAnsi="Times New Roman"/>
          <w:b w:val="false"/>
          <w:bCs w:val="false"/>
          <w:color w:val="333333"/>
          <w:sz w:val="28"/>
          <w:szCs w:val="28"/>
        </w:rPr>
        <w:t>first-line pharmacologic agent</w:t>
      </w:r>
      <w:r>
        <w:rPr>
          <w:rFonts w:ascii="Times New Roman" w:hAnsi="Times New Roman"/>
          <w:color w:val="333333"/>
          <w:sz w:val="28"/>
          <w:szCs w:val="28"/>
        </w:rPr>
        <w:t xml:space="preserve"> for mild to moderate osteoarthritis, particularly in patients who cannot tolerate NSAIDs. It acts centrally to inhibit prostaglandin synthesis, though its exact mechanism in pain relief is not fully understood. While generally safe, its pain-relieving effect is modest and less potent than NSAIDs, especially in cases with significant inflammation. It can be taken  up to 3,000–4,000 mg/day in divided doses. Acetaminophen shows fewer gastrointestinal, renal, and cardiovascular side effects compared to NSAIDs. The major side effect is hepatotoxicity risk at high doses or in patients with liver disease or chronic alcohol use. It is best suited for initial pain management or for patients with contraindications to NSAIDs.</w:t>
      </w:r>
    </w:p>
    <w:p>
      <w:pPr>
        <w:pStyle w:val="BodyText"/>
        <w:widowControl/>
        <w:spacing w:lineRule="auto" w:line="360" w:before="0" w:after="420"/>
        <w:ind w:hanging="0" w:left="0" w:right="0"/>
        <w:jc w:val="both"/>
        <w:rPr/>
      </w:pPr>
      <w:r>
        <w:rPr>
          <w:rStyle w:val="Strong"/>
          <w:rFonts w:ascii="Times New Roman" w:hAnsi="Times New Roman"/>
          <w:b/>
          <w:i w:val="false"/>
          <w:caps w:val="false"/>
          <w:smallCaps w:val="false"/>
          <w:color w:val="333333"/>
          <w:spacing w:val="0"/>
          <w:sz w:val="28"/>
          <w:szCs w:val="28"/>
        </w:rPr>
        <w:t xml:space="preserve">2. </w:t>
      </w:r>
      <w:r>
        <w:rPr>
          <w:rStyle w:val="Strong"/>
          <w:rFonts w:ascii="Times New Roman" w:hAnsi="Times New Roman"/>
          <w:b/>
          <w:i w:val="false"/>
          <w:caps w:val="false"/>
          <w:smallCaps w:val="false"/>
          <w:color w:val="333333"/>
          <w:spacing w:val="0"/>
          <w:sz w:val="28"/>
          <w:szCs w:val="28"/>
          <w:u w:val="none"/>
        </w:rPr>
        <w:t>Non-steroidal Anti-inflammatory Agents</w:t>
      </w:r>
      <w:r>
        <w:rPr>
          <w:rStyle w:val="Strong"/>
          <w:rFonts w:ascii="Times New Roman" w:hAnsi="Times New Roman"/>
          <w:b/>
          <w:i w:val="false"/>
          <w:caps w:val="false"/>
          <w:smallCaps w:val="false"/>
          <w:color w:val="333333"/>
          <w:spacing w:val="0"/>
          <w:sz w:val="28"/>
          <w:szCs w:val="28"/>
        </w:rPr>
        <w:t> (NSAIDs): </w:t>
      </w:r>
      <w:r>
        <w:rPr>
          <w:rFonts w:ascii="Times New Roman" w:hAnsi="Times New Roman"/>
          <w:b w:val="false"/>
          <w:i w:val="false"/>
          <w:caps w:val="false"/>
          <w:smallCaps w:val="false"/>
          <w:color w:val="333333"/>
          <w:spacing w:val="0"/>
          <w:sz w:val="28"/>
          <w:szCs w:val="28"/>
        </w:rPr>
        <w:t xml:space="preserve">NSAIDs have been an important treatment for the symptoms of OA for a very long time. The mechanism by which NSAIDs exert their anti-inflammatory and analgesic effects is via inhibition of the prostaglandin-generating enzyme, cyclooxygenase (COX) . In addition to their inflammatory potential, prostaglandins also contribute to important homeostatic functions, such as maintenance of the gastric lining, renal blood flow, and platelet aggregation. Reduction of prostaglandin levels in these organs can result in the well-recognized side effects of </w:t>
      </w:r>
      <w:r>
        <w:rPr>
          <w:rFonts w:ascii="Times New Roman" w:hAnsi="Times New Roman"/>
          <w:b w:val="false"/>
          <w:bCs w:val="false"/>
          <w:i w:val="false"/>
          <w:caps w:val="false"/>
          <w:smallCaps w:val="false"/>
          <w:color w:val="333333"/>
          <w:spacing w:val="0"/>
          <w:sz w:val="28"/>
          <w:szCs w:val="28"/>
        </w:rPr>
        <w:t>traditional</w:t>
      </w:r>
      <w:r>
        <w:rPr>
          <w:rStyle w:val="Strong"/>
          <w:rFonts w:ascii="Times New Roman" w:hAnsi="Times New Roman"/>
          <w:b w:val="false"/>
          <w:bCs w:val="false"/>
          <w:i w:val="false"/>
          <w:caps w:val="false"/>
          <w:smallCaps w:val="false"/>
          <w:color w:val="333333"/>
          <w:spacing w:val="0"/>
          <w:sz w:val="28"/>
          <w:szCs w:val="28"/>
        </w:rPr>
        <w:t> non-selective</w:t>
      </w:r>
      <w:r>
        <w:rPr>
          <w:rStyle w:val="Strong"/>
          <w:rFonts w:ascii="Times New Roman" w:hAnsi="Times New Roman"/>
          <w:b/>
          <w:i w:val="false"/>
          <w:caps w:val="false"/>
          <w:smallCaps w:val="false"/>
          <w:color w:val="333333"/>
          <w:spacing w:val="0"/>
          <w:sz w:val="28"/>
          <w:szCs w:val="28"/>
        </w:rPr>
        <w:t> </w:t>
      </w:r>
      <w:r>
        <w:rPr>
          <w:rFonts w:ascii="Times New Roman" w:hAnsi="Times New Roman"/>
          <w:b w:val="false"/>
          <w:i w:val="false"/>
          <w:caps w:val="false"/>
          <w:smallCaps w:val="false"/>
          <w:color w:val="333333"/>
          <w:spacing w:val="0"/>
          <w:sz w:val="28"/>
          <w:szCs w:val="28"/>
        </w:rPr>
        <w:t>NSAIDs (ibuprofen, naprosyn, indomethacin) that is, gastric ulceration, renal insufficiency, and prolonged bleeding time. The elderly are at higher risk for these side effects.  Other risk factors for NSAID-induced GI bleed include prior peptic ulcer disease and concomitant steroid use. Potential renal toxicities of NSAIDs include azotemia, proteinura, and renal failure requiring hospitalization. Hematologic and cognitive abnormalities have also been reported with several NSAIDs. Therefore, in elderly patients, and those with a documented history of NSAID-induced ulcers, traditional non-selective NSAIDs should be used with caution, usually in lower dose and in conjunction with a proton pump inhibitor. Renal function should be monitored in the elderly. In addition, prophylactic treatment to reduce risk of gastrointestinal ulceration, perforation and bleeding is recommended in patients &gt; 60 years of age with: prior history of peptic ulcer disease; anticipated duration of therapy of &gt; 3 months; moderate to high dose of NSAIDs; and, concurrent corticosteroids. The development of selective cyclooxygenase-2 (COX-2) inhibitors offers a strategy for the management of pain and inflammation that is likely to be less toxic to the GI tract.</w:t>
      </w:r>
    </w:p>
    <w:p>
      <w:pPr>
        <w:pStyle w:val="BodyText"/>
        <w:widowControl/>
        <w:spacing w:lineRule="auto" w:line="360" w:before="0" w:after="420"/>
        <w:ind w:hanging="0" w:left="0" w:right="0"/>
        <w:jc w:val="both"/>
        <w:rPr/>
      </w:pPr>
      <w:r>
        <w:rPr>
          <w:rStyle w:val="Strong"/>
          <w:rFonts w:ascii="Times New Roman" w:hAnsi="Times New Roman"/>
          <w:caps w:val="false"/>
          <w:smallCaps w:val="false"/>
          <w:color w:val="333333"/>
          <w:spacing w:val="0"/>
          <w:sz w:val="28"/>
          <w:szCs w:val="28"/>
        </w:rPr>
        <w:t> </w:t>
      </w:r>
      <w:r>
        <w:rPr>
          <w:rStyle w:val="Strong"/>
          <w:rFonts w:ascii="Times New Roman" w:hAnsi="Times New Roman"/>
          <w:caps w:val="false"/>
          <w:smallCaps w:val="false"/>
          <w:color w:val="333333"/>
          <w:spacing w:val="0"/>
          <w:sz w:val="28"/>
          <w:szCs w:val="28"/>
        </w:rPr>
        <w:t>3</w:t>
      </w:r>
      <w:r>
        <w:rPr>
          <w:rStyle w:val="Strong"/>
          <w:rFonts w:ascii="Times New Roman" w:hAnsi="Times New Roman"/>
          <w:b/>
          <w:i w:val="false"/>
          <w:caps w:val="false"/>
          <w:smallCaps w:val="false"/>
          <w:color w:val="333333"/>
          <w:spacing w:val="0"/>
          <w:sz w:val="28"/>
          <w:szCs w:val="28"/>
        </w:rPr>
        <w:t>. Topical Agents: </w:t>
      </w:r>
      <w:r>
        <w:rPr>
          <w:rFonts w:ascii="Times New Roman" w:hAnsi="Times New Roman"/>
          <w:b w:val="false"/>
          <w:i w:val="false"/>
          <w:caps w:val="false"/>
          <w:smallCaps w:val="false"/>
          <w:color w:val="333333"/>
          <w:spacing w:val="0"/>
          <w:sz w:val="28"/>
          <w:szCs w:val="28"/>
        </w:rPr>
        <w:t>Topical analgesic therapies include topical capsaicin and methyl salicylate creams. There is an FDA approved topical NSAID for the treatment of OA, diclofenac gel, which can be particularly useful for patients who are intolerant to the gastrointestinal side effects of NSAIDs.</w:t>
      </w:r>
    </w:p>
    <w:p>
      <w:pPr>
        <w:pStyle w:val="Normal"/>
        <w:bidi w:val="0"/>
        <w:spacing w:lineRule="auto" w:line="360"/>
        <w:jc w:val="both"/>
        <w:rPr>
          <w:rFonts w:ascii="Times New Roman" w:hAnsi="Times New Roman"/>
          <w:sz w:val="28"/>
          <w:szCs w:val="28"/>
        </w:rPr>
      </w:pPr>
      <w:r>
        <w:rPr>
          <w:rFonts w:ascii="Times New Roman" w:hAnsi="Times New Roman"/>
          <w:b/>
          <w:bCs/>
          <w:sz w:val="28"/>
          <w:szCs w:val="28"/>
        </w:rPr>
        <w:t xml:space="preserve">4. Opioid Analgesics: </w:t>
      </w:r>
      <w:r>
        <w:rPr>
          <w:rFonts w:ascii="Times New Roman" w:hAnsi="Times New Roman"/>
          <w:sz w:val="28"/>
          <w:szCs w:val="28"/>
        </w:rPr>
        <w:t xml:space="preserve">Opioids are reserved for </w:t>
      </w:r>
      <w:r>
        <w:rPr>
          <w:rStyle w:val="Strong"/>
          <w:rFonts w:ascii="Times New Roman" w:hAnsi="Times New Roman"/>
          <w:b w:val="false"/>
          <w:bCs w:val="false"/>
          <w:sz w:val="28"/>
          <w:szCs w:val="28"/>
        </w:rPr>
        <w:t>severe OA pain</w:t>
      </w:r>
      <w:r>
        <w:rPr>
          <w:rFonts w:ascii="Times New Roman" w:hAnsi="Times New Roman"/>
          <w:b w:val="false"/>
          <w:bCs w:val="false"/>
          <w:sz w:val="28"/>
          <w:szCs w:val="28"/>
        </w:rPr>
        <w:t xml:space="preserve"> </w:t>
      </w:r>
      <w:r>
        <w:rPr>
          <w:rFonts w:ascii="Times New Roman" w:hAnsi="Times New Roman"/>
          <w:sz w:val="28"/>
          <w:szCs w:val="28"/>
        </w:rPr>
        <w:t>unresponsive to other therapies or for patients awaiting joint replacement surgery. They b</w:t>
      </w:r>
      <w:r>
        <w:rPr>
          <w:rFonts w:ascii="Times New Roman" w:hAnsi="Times New Roman"/>
          <w:b w:val="false"/>
          <w:bCs w:val="false"/>
          <w:sz w:val="28"/>
          <w:szCs w:val="28"/>
        </w:rPr>
        <w:t>ind to opioid receptors in the central nervous system to block pain signals. Opoids provide short-term pain relief, but often with diminishing returns due to tolerance. Examples of c</w:t>
      </w:r>
      <w:r>
        <w:rPr>
          <w:rStyle w:val="Strong"/>
          <w:rFonts w:ascii="Times New Roman" w:hAnsi="Times New Roman"/>
          <w:b w:val="false"/>
          <w:bCs w:val="false"/>
          <w:sz w:val="28"/>
          <w:szCs w:val="28"/>
        </w:rPr>
        <w:t>ommon opioids used in the management of ostheoarthritis are</w:t>
      </w:r>
      <w:r>
        <w:rPr>
          <w:rFonts w:ascii="Times New Roman" w:hAnsi="Times New Roman"/>
          <w:b w:val="false"/>
          <w:bCs w:val="false"/>
          <w:sz w:val="28"/>
          <w:szCs w:val="28"/>
        </w:rPr>
        <w:t xml:space="preserve"> tramadol (a weak opioid), codeine, morphine.</w:t>
      </w:r>
      <w:r>
        <w:rPr>
          <w:rStyle w:val="Strong"/>
          <w:rFonts w:ascii="Times New Roman" w:hAnsi="Times New Roman"/>
          <w:b w:val="false"/>
          <w:bCs w:val="false"/>
          <w:sz w:val="28"/>
          <w:szCs w:val="28"/>
        </w:rPr>
        <w:t xml:space="preserve"> Side effects includes: h</w:t>
      </w:r>
      <w:r>
        <w:rPr>
          <w:rFonts w:ascii="Times New Roman" w:hAnsi="Times New Roman"/>
          <w:b w:val="false"/>
          <w:bCs w:val="false"/>
          <w:sz w:val="28"/>
          <w:szCs w:val="28"/>
        </w:rPr>
        <w:t xml:space="preserve">igh potential for </w:t>
      </w:r>
      <w:r>
        <w:rPr>
          <w:rStyle w:val="Strong"/>
          <w:rFonts w:ascii="Times New Roman" w:hAnsi="Times New Roman"/>
          <w:b w:val="false"/>
          <w:bCs w:val="false"/>
          <w:sz w:val="28"/>
          <w:szCs w:val="28"/>
        </w:rPr>
        <w:t>dependence, addiction, sedation, constipation</w:t>
      </w:r>
      <w:r>
        <w:rPr>
          <w:rFonts w:ascii="Times New Roman" w:hAnsi="Times New Roman"/>
          <w:b w:val="false"/>
          <w:bCs w:val="false"/>
          <w:sz w:val="28"/>
          <w:szCs w:val="28"/>
        </w:rPr>
        <w:t xml:space="preserve">, etc. </w:t>
      </w:r>
      <w:r>
        <w:rPr>
          <w:rStyle w:val="Strong"/>
          <w:rFonts w:ascii="Times New Roman" w:hAnsi="Times New Roman"/>
          <w:b w:val="false"/>
          <w:bCs w:val="false"/>
          <w:sz w:val="28"/>
          <w:szCs w:val="28"/>
        </w:rPr>
        <w:t>Long-term use is discouraged</w:t>
      </w:r>
      <w:r>
        <w:rPr>
          <w:rFonts w:ascii="Times New Roman" w:hAnsi="Times New Roman"/>
          <w:b w:val="false"/>
          <w:bCs w:val="false"/>
          <w:sz w:val="28"/>
          <w:szCs w:val="28"/>
        </w:rPr>
        <w:t xml:space="preserve"> due to lack of evidence for sustained benefit and high risk profile. It s</w:t>
      </w:r>
      <w:r>
        <w:rPr>
          <w:rFonts w:ascii="Times New Roman" w:hAnsi="Times New Roman"/>
          <w:sz w:val="28"/>
          <w:szCs w:val="28"/>
        </w:rPr>
        <w:t>hould be used only when absolutely necessary, at the lowest effective dose and for the shortest possible duration, under close supervision.</w:t>
      </w:r>
    </w:p>
    <w:p>
      <w:pPr>
        <w:pStyle w:val="BodyText"/>
        <w:spacing w:lineRule="auto" w:line="360"/>
        <w:rPr/>
      </w:pPr>
      <w:r>
        <w:rPr>
          <w:rFonts w:ascii="Times New Roman" w:hAnsi="Times New Roman"/>
          <w:b/>
          <w:bCs/>
          <w:sz w:val="28"/>
          <w:szCs w:val="28"/>
        </w:rPr>
        <w:t>5. Steroid Injections</w:t>
      </w:r>
      <w:r>
        <w:rPr>
          <w:rFonts w:ascii="Times New Roman" w:hAnsi="Times New Roman"/>
          <w:bCs/>
          <w:sz w:val="28"/>
          <w:szCs w:val="28"/>
        </w:rPr>
        <w:t xml:space="preserve">: </w:t>
      </w:r>
      <w:r>
        <w:rPr>
          <w:rFonts w:ascii="Times New Roman" w:hAnsi="Times New Roman"/>
          <w:b w:val="false"/>
          <w:i w:val="false"/>
          <w:caps w:val="false"/>
          <w:smallCaps w:val="false"/>
          <w:color w:val="1F1F1F"/>
          <w:spacing w:val="0"/>
          <w:sz w:val="28"/>
          <w:szCs w:val="28"/>
        </w:rPr>
        <w:t>Corticosteroid intra-articular injections have a potent anti-inflammatory and immunosuppressive effect, with a complex mechanism of action. They bind to intra-cellular steroid receptors and have a multifocal influence on inflammatory and immune cascades. On a cellular level, they reduce vascular permeability and therefore inhibit the accumulation of inflammatory cells, preventing the secretion of inflammatory mediators such as prostaglandins and leukotrienes. For this reason, the rationale for this treatment option is for a resultant reduction in swelling and tenderness of the knee joint (</w:t>
      </w:r>
      <w:r>
        <w:rPr>
          <w:rStyle w:val="Strong"/>
          <w:rFonts w:ascii="ElsevierSans;Arial;Helvetica;Roboto;Lucida Sans Unicode;Microsoft Sans Serif;Segoe UI Symbol;STIXGeneral;Cambria Math;Arial Unicode MS;sans-serif" w:hAnsi="ElsevierSans;Arial;Helvetica;Roboto;Lucida Sans Unicode;Microsoft Sans Serif;Segoe UI Symbol;STIXGeneral;Cambria Math;Arial Unicode MS;sans-serif"/>
          <w:b w:val="false"/>
          <w:i w:val="false"/>
          <w:caps w:val="false"/>
          <w:smallCaps w:val="false"/>
          <w:color w:val="1F1F1F"/>
          <w:spacing w:val="0"/>
          <w:sz w:val="24"/>
        </w:rPr>
        <w:t>Jonathan T Super</w:t>
      </w:r>
      <w:r>
        <w:rPr>
          <w:rStyle w:val="Strong"/>
          <w:rFonts w:ascii="Times New Roman" w:hAnsi="Times New Roman"/>
          <w:b w:val="false"/>
          <w:i w:val="false"/>
          <w:caps w:val="false"/>
          <w:smallCaps w:val="false"/>
          <w:color w:val="1F1F1F"/>
          <w:spacing w:val="0"/>
          <w:sz w:val="28"/>
          <w:szCs w:val="28"/>
        </w:rPr>
        <w:t xml:space="preserve"> et al 2025)</w:t>
      </w:r>
      <w:r>
        <w:rPr>
          <w:rFonts w:ascii="Times New Roman" w:hAnsi="Times New Roman"/>
          <w:b w:val="false"/>
          <w:i w:val="false"/>
          <w:caps w:val="false"/>
          <w:smallCaps w:val="false"/>
          <w:color w:val="1F1F1F"/>
          <w:spacing w:val="0"/>
          <w:sz w:val="28"/>
          <w:szCs w:val="28"/>
        </w:rPr>
        <w:t xml:space="preserve">. </w:t>
      </w:r>
      <w:r>
        <w:rPr>
          <w:rFonts w:ascii="ElsevierGulliver;Georgia;Times New Roman;Times;STIXGeneral;Cambria Math;Lucida Sans Unicode;Microsoft Sans Serif;Segoe UI Symbol;Arial Unicode MS;serif;sans-serif" w:hAnsi="ElsevierGulliver;Georgia;Times New Roman;Times;STIXGeneral;Cambria Math;Lucida Sans Unicode;Microsoft Sans Serif;Segoe UI Symbol;Arial Unicode MS;serif;sans-serif"/>
          <w:b w:val="false"/>
          <w:i w:val="false"/>
          <w:caps w:val="false"/>
          <w:smallCaps w:val="false"/>
          <w:color w:val="1F1F1F"/>
          <w:spacing w:val="0"/>
          <w:sz w:val="24"/>
        </w:rPr>
        <w:t>T</w:t>
      </w:r>
      <w:r>
        <w:rPr>
          <w:rFonts w:ascii="Times New Roman" w:hAnsi="Times New Roman"/>
          <w:b w:val="false"/>
          <w:i w:val="false"/>
          <w:caps w:val="false"/>
          <w:smallCaps w:val="false"/>
          <w:color w:val="1F1F1F"/>
          <w:spacing w:val="0"/>
          <w:sz w:val="28"/>
          <w:szCs w:val="28"/>
        </w:rPr>
        <w:t>here are numerous preparations of corticosteroid injections available for use, with methylprednisolone acetate (DepoMedrol) and triamcinolone acetonide (Kenalog) being the most frequently used. The preparation is administered alongside a short-acting local anaesthetic agent, which aims to increase the injected volume and to administer some immediate analgesia. The duration of action is relatively short, reported to be between 1 and 8 weeks, and there is a suggested interval of 3–6 months between injections.</w:t>
      </w:r>
    </w:p>
    <w:p>
      <w:pPr>
        <w:pStyle w:val="BodyText"/>
        <w:spacing w:lineRule="auto" w:line="360"/>
        <w:rPr>
          <w:rFonts w:ascii="Times New Roman" w:hAnsi="Times New Roman"/>
          <w:b w:val="false"/>
          <w:i w:val="false"/>
          <w:i w:val="false"/>
          <w:caps w:val="false"/>
          <w:smallCaps w:val="false"/>
          <w:color w:val="1F1F1F"/>
          <w:spacing w:val="0"/>
          <w:sz w:val="28"/>
          <w:szCs w:val="28"/>
        </w:rPr>
      </w:pPr>
      <w:r>
        <w:rPr>
          <w:rFonts w:ascii="Times New Roman" w:hAnsi="Times New Roman"/>
          <w:b w:val="false"/>
          <w:i w:val="false"/>
          <w:caps w:val="false"/>
          <w:smallCaps w:val="false"/>
          <w:color w:val="1F1F1F"/>
          <w:spacing w:val="0"/>
          <w:sz w:val="28"/>
          <w:szCs w:val="28"/>
        </w:rPr>
      </w:r>
    </w:p>
    <w:p>
      <w:pPr>
        <w:pStyle w:val="Normal"/>
        <w:bidi w:val="0"/>
        <w:spacing w:lineRule="auto" w:line="360"/>
        <w:jc w:val="both"/>
        <w:rPr>
          <w:sz w:val="28"/>
          <w:szCs w:val="28"/>
        </w:rPr>
      </w:pPr>
      <w:r>
        <w:rPr>
          <w:rFonts w:ascii="Times New Roman" w:hAnsi="Times New Roman"/>
          <w:b/>
          <w:bCs/>
          <w:color w:val="000000"/>
          <w:sz w:val="28"/>
          <w:szCs w:val="28"/>
        </w:rPr>
        <w:t>SURGICAL PROCEDURES</w:t>
      </w:r>
    </w:p>
    <w:p>
      <w:pPr>
        <w:pStyle w:val="BodyText"/>
        <w:bidi w:val="0"/>
        <w:spacing w:lineRule="auto" w:line="360"/>
        <w:jc w:val="both"/>
        <w:rPr>
          <w:rFonts w:ascii="Times New Roman" w:hAnsi="Times New Roman"/>
          <w:b/>
          <w:bCs/>
          <w:color w:val="000000"/>
          <w:sz w:val="28"/>
          <w:szCs w:val="28"/>
        </w:rPr>
      </w:pPr>
      <w:r>
        <w:rPr>
          <w:rFonts w:ascii="Times New Roman" w:hAnsi="Times New Roman"/>
          <w:b w:val="false"/>
          <w:bCs w:val="false"/>
          <w:color w:val="000000"/>
          <w:sz w:val="28"/>
          <w:szCs w:val="28"/>
        </w:rPr>
        <w:t>Surgical intervention for osteoarthritis becomes necessary when non-surgical</w:t>
      </w:r>
      <w:r>
        <w:rPr>
          <w:rFonts w:ascii="Times New Roman" w:hAnsi="Times New Roman"/>
          <w:b/>
          <w:bCs/>
          <w:color w:val="000000"/>
          <w:sz w:val="28"/>
          <w:szCs w:val="28"/>
        </w:rPr>
        <w:t xml:space="preserve"> </w:t>
      </w:r>
      <w:r>
        <w:rPr>
          <w:rFonts w:ascii="Times New Roman" w:hAnsi="Times New Roman"/>
          <w:b w:val="false"/>
          <w:bCs w:val="false"/>
          <w:color w:val="000000"/>
          <w:sz w:val="28"/>
          <w:szCs w:val="28"/>
        </w:rPr>
        <w:t xml:space="preserve">options such as medications, lifestyle modifications, and physical therapy fail to provide adequate relief. Surgery aims to alleviate pain, restore mobility, and improve the overall function of the affected joints. The primary surgical procedures for osteoarthritis include </w:t>
      </w:r>
      <w:r>
        <w:rPr>
          <w:rStyle w:val="Strong"/>
          <w:rFonts w:ascii="Times New Roman" w:hAnsi="Times New Roman"/>
          <w:b w:val="false"/>
          <w:bCs w:val="false"/>
          <w:color w:val="000000"/>
          <w:sz w:val="28"/>
          <w:szCs w:val="28"/>
        </w:rPr>
        <w:t>joint replacement</w:t>
      </w:r>
      <w:r>
        <w:rPr>
          <w:rFonts w:ascii="Times New Roman" w:hAnsi="Times New Roman"/>
          <w:b w:val="false"/>
          <w:bCs w:val="false"/>
          <w:color w:val="000000"/>
          <w:sz w:val="28"/>
          <w:szCs w:val="28"/>
        </w:rPr>
        <w:t xml:space="preserve">, </w:t>
      </w:r>
      <w:r>
        <w:rPr>
          <w:rStyle w:val="Strong"/>
          <w:rFonts w:ascii="Times New Roman" w:hAnsi="Times New Roman"/>
          <w:b w:val="false"/>
          <w:bCs w:val="false"/>
          <w:color w:val="000000"/>
          <w:sz w:val="28"/>
          <w:szCs w:val="28"/>
        </w:rPr>
        <w:t>joint fusion</w:t>
      </w:r>
      <w:r>
        <w:rPr>
          <w:rFonts w:ascii="Times New Roman" w:hAnsi="Times New Roman"/>
          <w:b w:val="false"/>
          <w:bCs w:val="false"/>
          <w:color w:val="000000"/>
          <w:sz w:val="28"/>
          <w:szCs w:val="28"/>
        </w:rPr>
        <w:t xml:space="preserve">, </w:t>
      </w:r>
      <w:r>
        <w:rPr>
          <w:rStyle w:val="Strong"/>
          <w:rFonts w:ascii="Times New Roman" w:hAnsi="Times New Roman"/>
          <w:b w:val="false"/>
          <w:bCs w:val="false"/>
          <w:color w:val="000000"/>
          <w:sz w:val="28"/>
          <w:szCs w:val="28"/>
        </w:rPr>
        <w:t>osteotomy</w:t>
      </w:r>
      <w:r>
        <w:rPr>
          <w:rFonts w:ascii="Times New Roman" w:hAnsi="Times New Roman"/>
          <w:b w:val="false"/>
          <w:bCs w:val="false"/>
          <w:color w:val="000000"/>
          <w:sz w:val="28"/>
          <w:szCs w:val="28"/>
        </w:rPr>
        <w:t xml:space="preserve">, and </w:t>
      </w:r>
      <w:r>
        <w:rPr>
          <w:rStyle w:val="Strong"/>
          <w:rFonts w:ascii="Times New Roman" w:hAnsi="Times New Roman"/>
          <w:b w:val="false"/>
          <w:bCs w:val="false"/>
          <w:color w:val="000000"/>
          <w:sz w:val="28"/>
          <w:szCs w:val="28"/>
        </w:rPr>
        <w:t>joint revision surgery</w:t>
      </w:r>
      <w:r>
        <w:rPr>
          <w:rFonts w:ascii="Times New Roman" w:hAnsi="Times New Roman"/>
          <w:b w:val="false"/>
          <w:bCs w:val="false"/>
          <w:color w:val="000000"/>
          <w:sz w:val="28"/>
          <w:szCs w:val="28"/>
        </w:rPr>
        <w:t>.</w:t>
      </w:r>
    </w:p>
    <w:p>
      <w:pPr>
        <w:pStyle w:val="BodyText"/>
        <w:bidi w:val="0"/>
        <w:spacing w:lineRule="auto" w:line="360"/>
        <w:jc w:val="both"/>
        <w:rPr>
          <w:rFonts w:ascii="Times New Roman" w:hAnsi="Times New Roman"/>
          <w:b/>
          <w:bCs/>
          <w:color w:val="000000"/>
          <w:sz w:val="28"/>
          <w:szCs w:val="28"/>
        </w:rPr>
      </w:pPr>
      <w:r>
        <w:rPr>
          <w:rStyle w:val="Strong"/>
          <w:rFonts w:ascii="Times New Roman" w:hAnsi="Times New Roman"/>
          <w:b/>
          <w:bCs/>
          <w:color w:val="000000"/>
          <w:sz w:val="28"/>
          <w:szCs w:val="28"/>
        </w:rPr>
        <w:t xml:space="preserve">1. Joint Replacement Surgery (Arthroplasty): </w:t>
      </w:r>
      <w:r>
        <w:rPr>
          <w:rFonts w:ascii="Times New Roman" w:hAnsi="Times New Roman"/>
          <w:b w:val="false"/>
          <w:bCs w:val="false"/>
          <w:color w:val="000000"/>
          <w:sz w:val="28"/>
          <w:szCs w:val="28"/>
        </w:rPr>
        <w:t>This is the most common and effective surgical option for advanced osteoarthritis, particularly affecting the hip and knee joints. It involves the removal of all or part of the damaged joint and its replacement with a prosthetic made from plastic, metal, or ceramic materials. Joint replacement significantly improves mobility and reduces pain in affected individuals.</w:t>
      </w:r>
    </w:p>
    <w:p>
      <w:pPr>
        <w:pStyle w:val="BodyText"/>
        <w:bidi w:val="0"/>
        <w:spacing w:lineRule="auto" w:line="360"/>
        <w:jc w:val="both"/>
        <w:rPr>
          <w:rFonts w:ascii="Times New Roman" w:hAnsi="Times New Roman"/>
          <w:b/>
          <w:bCs/>
          <w:color w:val="000000"/>
          <w:sz w:val="28"/>
          <w:szCs w:val="28"/>
        </w:rPr>
      </w:pPr>
      <w:r>
        <w:rPr>
          <w:rStyle w:val="Strong"/>
          <w:rFonts w:ascii="Times New Roman" w:hAnsi="Times New Roman"/>
          <w:b/>
          <w:bCs/>
          <w:color w:val="000000"/>
          <w:sz w:val="28"/>
          <w:szCs w:val="28"/>
        </w:rPr>
        <w:t xml:space="preserve">2. Joint Fusion Surgery (Arthrodesis): </w:t>
      </w:r>
      <w:r>
        <w:rPr>
          <w:rFonts w:ascii="Times New Roman" w:hAnsi="Times New Roman"/>
          <w:b w:val="false"/>
          <w:bCs w:val="false"/>
          <w:color w:val="000000"/>
          <w:sz w:val="28"/>
          <w:szCs w:val="28"/>
        </w:rPr>
        <w:t>In this procedure, the ends of the bones within a joint are surgically fixed together using hardware such as screws, pins, rods, or plates. Over time, these bones grow into a single, solid structure, eliminating the joint. Though this method can effectively reduce pain, it also limits the range of motion and flexibility in the fused joint. Joint fusion is commonly used for osteoarthritis in the spine, hands, and feet, but may lead to increased stress and potential degeneration in adjacent joints.</w:t>
      </w:r>
    </w:p>
    <w:p>
      <w:pPr>
        <w:pStyle w:val="BodyText"/>
        <w:bidi w:val="0"/>
        <w:spacing w:lineRule="auto" w:line="360"/>
        <w:jc w:val="both"/>
        <w:rPr>
          <w:rFonts w:ascii="Times New Roman" w:hAnsi="Times New Roman"/>
          <w:b/>
          <w:bCs/>
          <w:color w:val="000000"/>
          <w:sz w:val="28"/>
          <w:szCs w:val="28"/>
        </w:rPr>
      </w:pPr>
      <w:r>
        <w:rPr>
          <w:rStyle w:val="Strong"/>
          <w:rFonts w:ascii="Times New Roman" w:hAnsi="Times New Roman"/>
          <w:b/>
          <w:bCs/>
          <w:color w:val="000000"/>
          <w:sz w:val="28"/>
          <w:szCs w:val="28"/>
        </w:rPr>
        <w:t>3. Osteotomy:</w:t>
      </w:r>
      <w:r>
        <w:rPr>
          <w:rStyle w:val="Strong"/>
          <w:rFonts w:ascii="Times New Roman" w:hAnsi="Times New Roman"/>
          <w:b w:val="false"/>
          <w:bCs w:val="false"/>
          <w:color w:val="000000"/>
          <w:sz w:val="28"/>
          <w:szCs w:val="28"/>
        </w:rPr>
        <w:t xml:space="preserve"> </w:t>
      </w:r>
      <w:r>
        <w:rPr>
          <w:rFonts w:ascii="Times New Roman" w:hAnsi="Times New Roman"/>
          <w:b w:val="false"/>
          <w:bCs w:val="false"/>
          <w:color w:val="000000"/>
          <w:sz w:val="28"/>
          <w:szCs w:val="28"/>
        </w:rPr>
        <w:t>An osteotomy involves the surgical cutting and realignment of bone to shift the weight-bearing load from the damaged portion of the joint to a healthier area. This procedure is especially useful in younger patients or those with localized joint damage and can delay the need for joint replacement. It is also used to correct joint deformities such as misaligned hips.</w:t>
      </w:r>
    </w:p>
    <w:p>
      <w:pPr>
        <w:pStyle w:val="BodyText"/>
        <w:bidi w:val="0"/>
        <w:spacing w:lineRule="auto" w:line="360"/>
        <w:jc w:val="both"/>
        <w:rPr>
          <w:rFonts w:ascii="Times New Roman" w:hAnsi="Times New Roman"/>
          <w:b/>
          <w:bCs/>
          <w:color w:val="000000"/>
          <w:sz w:val="28"/>
          <w:szCs w:val="28"/>
        </w:rPr>
      </w:pPr>
      <w:r>
        <w:rPr>
          <w:rStyle w:val="Strong"/>
          <w:rFonts w:ascii="Times New Roman" w:hAnsi="Times New Roman"/>
          <w:b/>
          <w:bCs/>
          <w:color w:val="000000"/>
          <w:sz w:val="28"/>
          <w:szCs w:val="28"/>
        </w:rPr>
        <w:t>4. Joint Revision Surgery:</w:t>
      </w:r>
      <w:r>
        <w:rPr>
          <w:rStyle w:val="Strong"/>
          <w:rFonts w:ascii="Times New Roman" w:hAnsi="Times New Roman"/>
          <w:b w:val="false"/>
          <w:bCs w:val="false"/>
          <w:color w:val="000000"/>
          <w:sz w:val="28"/>
          <w:szCs w:val="28"/>
        </w:rPr>
        <w:t xml:space="preserve"> </w:t>
      </w:r>
      <w:r>
        <w:rPr>
          <w:rFonts w:ascii="Times New Roman" w:hAnsi="Times New Roman"/>
          <w:b w:val="false"/>
          <w:bCs w:val="false"/>
          <w:color w:val="000000"/>
          <w:sz w:val="28"/>
          <w:szCs w:val="28"/>
        </w:rPr>
        <w:t>Artificial joint implants typically last between 15 to 20 years. When these implants wear out or fail, joint revision surgery is performed to remove and replace the original prosthesis. This procedure can be more complex than the initial joint replacement but is crucial for maintaining joint function over the long term.</w:t>
      </w:r>
    </w:p>
    <w:p>
      <w:pPr>
        <w:pStyle w:val="Normal"/>
        <w:bidi w:val="0"/>
        <w:spacing w:lineRule="auto" w:line="360" w:before="0" w:after="0"/>
        <w:jc w:val="both"/>
        <w:rPr>
          <w:rFonts w:ascii="Times New Roman" w:hAnsi="Times New Roman"/>
          <w:b/>
          <w:bCs/>
          <w:sz w:val="28"/>
          <w:szCs w:val="28"/>
        </w:rPr>
      </w:pPr>
      <w:r>
        <w:rPr>
          <w:rFonts w:ascii="Times New Roman" w:hAnsi="Times New Roman"/>
          <w:b/>
          <w:bCs/>
          <w:sz w:val="28"/>
          <w:szCs w:val="28"/>
        </w:rPr>
      </w:r>
    </w:p>
    <w:p>
      <w:pPr>
        <w:pStyle w:val="Normal"/>
        <w:bidi w:val="0"/>
        <w:spacing w:lineRule="auto" w:line="360" w:before="0" w:after="0"/>
        <w:jc w:val="both"/>
        <w:rPr>
          <w:rFonts w:ascii="Times New Roman" w:hAnsi="Times New Roman"/>
          <w:b/>
          <w:bCs/>
          <w:sz w:val="28"/>
          <w:szCs w:val="28"/>
        </w:rPr>
      </w:pPr>
      <w:r>
        <w:rPr>
          <w:rFonts w:ascii="Times New Roman" w:hAnsi="Times New Roman"/>
          <w:b/>
          <w:bCs/>
          <w:sz w:val="28"/>
          <w:szCs w:val="28"/>
        </w:rPr>
      </w:r>
      <w:r>
        <w:br w:type="page"/>
      </w:r>
    </w:p>
    <w:p>
      <w:pPr>
        <w:pStyle w:val="Normal"/>
        <w:bidi w:val="0"/>
        <w:spacing w:lineRule="auto" w:line="360" w:before="0" w:after="0"/>
        <w:jc w:val="both"/>
        <w:rPr>
          <w:rFonts w:ascii="Times New Roman" w:hAnsi="Times New Roman"/>
          <w:b/>
          <w:bCs/>
          <w:sz w:val="28"/>
          <w:szCs w:val="28"/>
        </w:rPr>
      </w:pPr>
      <w:r>
        <w:rPr>
          <w:rFonts w:ascii="Times New Roman" w:hAnsi="Times New Roman"/>
          <w:b/>
          <w:bCs/>
          <w:sz w:val="28"/>
          <w:szCs w:val="28"/>
        </w:rPr>
        <w:t>CONCLUSION</w:t>
      </w:r>
    </w:p>
    <w:p>
      <w:pPr>
        <w:pStyle w:val="Normal"/>
        <w:bidi w:val="0"/>
        <w:spacing w:lineRule="auto" w:line="360"/>
        <w:jc w:val="both"/>
        <w:rPr>
          <w:rFonts w:ascii="Times New Roman" w:hAnsi="Times New Roman"/>
          <w:sz w:val="28"/>
          <w:szCs w:val="28"/>
        </w:rPr>
      </w:pPr>
      <w:r>
        <w:rPr>
          <w:rFonts w:ascii="Times New Roman" w:hAnsi="Times New Roman"/>
          <w:sz w:val="28"/>
          <w:szCs w:val="28"/>
        </w:rPr>
        <w:t>Osteoarthritis (OA) is a chronic, progressive joint disorder that significantly affects the quality of life of millions worldwide. Its management requires a multifaceted approach that includes patient education, lifestyle modification, pharmacologic treatments, and in advanced cases, surgical intervention. Early diagnosis and individualized treatment plans are crucial to slow disease progression and alleviate symptoms. Non-pharmacologic strategies such as physical therapy, weight management, and assistive devices play a pivotal role in reducing pain and improving joint function. Pharmacologic options, including NSAIDs and intra-articular injections, provide symptomatic relief, while surgical procedures like joint replacement remain a last resort for severe cases. Ongoing research into disease-modifying therapies holds promise for future advancements in OA care. Effective management of osteoarthritis depends not only on medical intervention but also on active patient participation and a multidisciplinary healthcare approach.</w:t>
      </w:r>
      <w:r>
        <w:br w:type="page"/>
      </w:r>
    </w:p>
    <w:p>
      <w:pPr>
        <w:pStyle w:val="Normal"/>
        <w:bidi w:val="0"/>
        <w:spacing w:lineRule="auto" w:line="360" w:before="0" w:after="0"/>
        <w:jc w:val="both"/>
        <w:rPr>
          <w:rFonts w:ascii="Times New Roman" w:hAnsi="Times New Roman"/>
          <w:b/>
          <w:bCs/>
          <w:sz w:val="28"/>
          <w:szCs w:val="28"/>
        </w:rPr>
      </w:pPr>
      <w:r>
        <w:rPr>
          <w:rFonts w:ascii="Times New Roman" w:hAnsi="Times New Roman"/>
          <w:b/>
          <w:bCs/>
          <w:sz w:val="28"/>
          <w:szCs w:val="28"/>
        </w:rPr>
        <w:t>RECOMMENDATIONS</w:t>
      </w:r>
    </w:p>
    <w:p>
      <w:pPr>
        <w:pStyle w:val="Normal"/>
        <w:bidi w:val="0"/>
        <w:spacing w:lineRule="auto" w:line="360"/>
        <w:rPr>
          <w:rFonts w:ascii="Times New Roman" w:hAnsi="Times New Roman"/>
          <w:sz w:val="28"/>
          <w:szCs w:val="28"/>
        </w:rPr>
      </w:pPr>
      <w:r>
        <w:rPr>
          <w:rFonts w:ascii="Times New Roman" w:hAnsi="Times New Roman"/>
          <w:sz w:val="28"/>
          <w:szCs w:val="28"/>
        </w:rPr>
        <w:t>it is therefore recommended that:</w:t>
      </w:r>
    </w:p>
    <w:p>
      <w:pPr>
        <w:pStyle w:val="Normal"/>
        <w:bidi w:val="0"/>
        <w:spacing w:lineRule="auto" w:line="360"/>
        <w:rPr>
          <w:rFonts w:ascii="Times New Roman" w:hAnsi="Times New Roman"/>
          <w:sz w:val="28"/>
          <w:szCs w:val="28"/>
        </w:rPr>
      </w:pPr>
      <w:r>
        <w:rPr>
          <w:rFonts w:ascii="Times New Roman" w:hAnsi="Times New Roman"/>
          <w:sz w:val="28"/>
          <w:szCs w:val="28"/>
        </w:rPr>
        <w:t>1.</w:t>
        <w:tab/>
        <w:t>The cns should ensure that screening for osteoarthritis is carried out during recruitment.</w:t>
      </w:r>
    </w:p>
    <w:p>
      <w:pPr>
        <w:pStyle w:val="Normal"/>
        <w:bidi w:val="0"/>
        <w:spacing w:lineRule="auto" w:line="360"/>
        <w:rPr>
          <w:rFonts w:ascii="Times New Roman" w:hAnsi="Times New Roman"/>
          <w:sz w:val="28"/>
          <w:szCs w:val="28"/>
        </w:rPr>
      </w:pPr>
      <w:r>
        <w:rPr>
          <w:rFonts w:ascii="Times New Roman" w:hAnsi="Times New Roman"/>
          <w:sz w:val="28"/>
          <w:szCs w:val="28"/>
        </w:rPr>
        <w:t>2.</w:t>
        <w:tab/>
        <w:t>The commandant should direct the moic to create routine awareness on arthritis especially osteoarthritis.</w:t>
      </w:r>
    </w:p>
    <w:p>
      <w:pPr>
        <w:pStyle w:val="Normal"/>
        <w:bidi w:val="0"/>
        <w:spacing w:lineRule="auto" w:line="360"/>
        <w:rPr>
          <w:rFonts w:ascii="Times New Roman" w:hAnsi="Times New Roman"/>
          <w:sz w:val="28"/>
          <w:szCs w:val="28"/>
        </w:rPr>
      </w:pPr>
      <w:r>
        <w:rPr>
          <w:rFonts w:ascii="Times New Roman" w:hAnsi="Times New Roman"/>
          <w:sz w:val="28"/>
          <w:szCs w:val="28"/>
        </w:rPr>
        <w:t>3.</w:t>
        <w:tab/>
        <w:t>The hod pharmacy department should continue to provide potent analgesics for the management of osteoarthritis.</w:t>
      </w:r>
    </w:p>
    <w:p>
      <w:pPr>
        <w:pStyle w:val="Normal"/>
        <w:bidi w:val="0"/>
        <w:spacing w:lineRule="auto" w:line="360"/>
        <w:rPr>
          <w:rFonts w:ascii="Times New Roman" w:hAnsi="Times New Roman"/>
          <w:sz w:val="28"/>
          <w:szCs w:val="28"/>
        </w:rPr>
      </w:pPr>
      <w:r>
        <w:rPr>
          <w:rFonts w:ascii="Times New Roman" w:hAnsi="Times New Roman"/>
          <w:sz w:val="28"/>
          <w:szCs w:val="28"/>
        </w:rPr>
        <w:t>4.</w:t>
        <w:tab/>
        <w:t>The catering officer should continue to provide balance diet in order to reduce binge eating among students .</w:t>
      </w:r>
    </w:p>
    <w:sectPr>
      <w:footerReference w:type="even" r:id="rId3"/>
      <w:footerReference w:type="default" r:id="rId4"/>
      <w:footerReference w:type="first" r:id="rId5"/>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Noto Sans Devanagari">
    <w:charset w:val="01"/>
    <w:family w:val="roman"/>
    <w:pitch w:val="variable"/>
  </w:font>
  <w:font w:name="Times New Roman">
    <w:charset w:val="01"/>
    <w:family w:val="roman"/>
    <w:pitch w:val="variable"/>
  </w:font>
  <w:font w:name="Source Sans Pro Web">
    <w:altName w:val="Helvetica Neue"/>
    <w:charset w:val="01"/>
    <w:family w:val="roman"/>
    <w:pitch w:val="variable"/>
  </w:font>
  <w:font w:name="ElsevierSans">
    <w:altName w:val="Arial"/>
    <w:charset w:val="01"/>
    <w:family w:val="roman"/>
    <w:pitch w:val="variable"/>
  </w:font>
  <w:font w:name="ElsevierGulliver">
    <w:altName w:val="Georg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4" w:name="PageNumWizard_FOOTER_Default_Page_Style1"/>
    <w:r>
      <w:rPr/>
      <w:fldChar w:fldCharType="begin"/>
    </w:r>
    <w:r>
      <w:rPr/>
      <w:instrText xml:space="preserve"> PAGE </w:instrText>
    </w:r>
    <w:r>
      <w:rPr/>
      <w:fldChar w:fldCharType="separate"/>
    </w:r>
    <w:r>
      <w:rPr/>
      <w:t>22</w:t>
    </w:r>
    <w:r>
      <w:rPr/>
      <w:fldChar w:fldCharType="end"/>
    </w:r>
    <w:bookmarkEnd w:id="4"/>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 w:name="PageNumWizard_FOOTER_Default_Page_Style1"/>
    <w:r>
      <w:rPr/>
      <w:fldChar w:fldCharType="begin"/>
    </w:r>
    <w:r>
      <w:rPr/>
      <w:instrText xml:space="preserve"> PAGE </w:instrText>
    </w:r>
    <w:r>
      <w:rPr/>
      <w:fldChar w:fldCharType="separate"/>
    </w:r>
    <w:r>
      <w:rPr/>
      <w:t>22</w:t>
    </w:r>
    <w:r>
      <w:rPr/>
      <w:fldChar w:fldCharType="end"/>
    </w:r>
    <w:bookmarkEnd w:id="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DefaultDrawingStyle">
    <w:name w:val="Default Drawing Style"/>
    <w:qFormat/>
    <w:pPr>
      <w:widowControl/>
      <w:suppressAutoHyphens w:val="true"/>
      <w:bidi w:val="0"/>
      <w:spacing w:lineRule="atLeast" w:line="200" w:before="0" w:after="0"/>
      <w:jc w:val="left"/>
    </w:pPr>
    <w:rPr>
      <w:rFonts w:ascii="Noto Sans Devanagari" w:hAnsi="Noto Sans Devanagari" w:eastAsia="Noto Sans" w:cs="Noto Sans"/>
      <w:b w:val="false"/>
      <w:i w:val="false"/>
      <w:caps w:val="false"/>
      <w:smallCaps w:val="false"/>
      <w:strike w:val="false"/>
      <w:dstrike w:val="false"/>
      <w:outline w:val="false"/>
      <w:shadow w:val="false"/>
      <w:color w:val="auto"/>
      <w:kern w:val="2"/>
      <w:sz w:val="36"/>
      <w:szCs w:val="24"/>
      <w:u w:val="none"/>
      <w:em w:val="none"/>
      <w:lang w:val="en-US" w:eastAsia="zh-CN" w:bidi="hi-I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4055</TotalTime>
  <Application>LibreOffice/25.2.4.3$Linux_X86_64 LibreOffice_project/520$Build-3</Application>
  <AppVersion>15.0000</AppVersion>
  <Pages>22</Pages>
  <Words>4298</Words>
  <Characters>24202</Characters>
  <CharactersWithSpaces>28386</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2025-05-08T12:01:16Z</dcterms:created>
  <dc:creator/>
  <dc:description/>
  <dc:language>en-US</dc:language>
  <cp:lastModifiedBy/>
  <dcterms:modified xsi:type="dcterms:W3CDTF">2025-07-10T06:36:32Z</dcterms:modified>
  <cp:revision>143</cp:revision>
  <dc:subject/>
  <dc:title/>
</cp:coreProperties>
</file>

<file path=docProps/custom.xml><?xml version="1.0" encoding="utf-8"?>
<Properties xmlns="http://schemas.openxmlformats.org/officeDocument/2006/custom-properties" xmlns:vt="http://schemas.openxmlformats.org/officeDocument/2006/docPropsVTypes"/>
</file>