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225" w:rsidRDefault="00AD341C" w:rsidP="00AD341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REFERENCES</w:t>
      </w:r>
    </w:p>
    <w:p w:rsidR="006A7225" w:rsidRDefault="006A7225" w:rsidP="00AD341C">
      <w:pPr>
        <w:spacing w:line="360" w:lineRule="auto"/>
        <w:jc w:val="both"/>
        <w:rPr>
          <w:sz w:val="28"/>
          <w:szCs w:val="28"/>
        </w:rPr>
      </w:pPr>
    </w:p>
    <w:p w:rsidR="006A7225" w:rsidRDefault="00AD341C" w:rsidP="00AD341C">
      <w:pPr>
        <w:pStyle w:val="BodyText"/>
        <w:spacing w:after="150" w:line="360" w:lineRule="auto"/>
        <w:jc w:val="both"/>
      </w:pP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Lawrence RC,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Helmick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CG, Arnett FC,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Deyo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RA,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Felson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DT,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Giannini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EH, et al.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Estimates of the prevalence of arthritis and selected musculoskeletal disorders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>in the United States.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Arthritis and rheumatism.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1998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;41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(5):778-799. </w:t>
      </w:r>
    </w:p>
    <w:p w:rsidR="006A7225" w:rsidRDefault="00AD341C" w:rsidP="00AD341C">
      <w:pPr>
        <w:pStyle w:val="BodyText"/>
        <w:spacing w:after="150" w:line="360" w:lineRule="auto"/>
        <w:jc w:val="both"/>
      </w:pP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Hawker GA. Osteoarthritis is a serious disease. 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Clinical and experimental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>rheumatology.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2019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;37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(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Suppl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120):3-6. 3. </w:t>
      </w:r>
    </w:p>
    <w:p w:rsidR="006A7225" w:rsidRDefault="00AD341C" w:rsidP="00AD341C">
      <w:pPr>
        <w:pStyle w:val="BodyText"/>
        <w:spacing w:after="150" w:line="360" w:lineRule="auto"/>
        <w:jc w:val="both"/>
      </w:pP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Culliford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D,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Maskell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J, Judge A, Cooper C,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Prieto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-Alhambra D, Arden NK. Future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 xml:space="preserve">projections of total hip and knee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arthroplasty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in the UK: r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esults from the UK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Clinical Practice Research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Datalink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Osteoarthritis and cartilage.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</w:t>
      </w:r>
    </w:p>
    <w:p w:rsidR="006A7225" w:rsidRDefault="00AD341C" w:rsidP="00AD341C">
      <w:pPr>
        <w:pStyle w:val="BodyText"/>
        <w:spacing w:after="150" w:line="360" w:lineRule="auto"/>
        <w:jc w:val="both"/>
      </w:pP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Veronese N,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Cereda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E,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Maggi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S,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Luchini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C,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Solmi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M, Smith T, et al. Osteoarthritis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>and mortality: A prospective cohort study and systematic review with meta-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 xml:space="preserve">analysis. 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Seminars in arthritis and rheumatism.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2016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;46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(2):160-167. </w:t>
      </w:r>
    </w:p>
    <w:p w:rsidR="006A7225" w:rsidRDefault="00AD341C" w:rsidP="00AD341C">
      <w:pPr>
        <w:pStyle w:val="BodyText"/>
        <w:spacing w:after="150" w:line="360" w:lineRule="auto"/>
        <w:jc w:val="both"/>
      </w:pP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Chen D,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Shen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J, Zhao W, Wang T, Han L, Hamilton JL, et al. Osteoarthritis: toward a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 xml:space="preserve">comprehensive understanding of pathological mechanism. 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Bone research.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>2017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;5:16044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.  </w:t>
      </w:r>
    </w:p>
    <w:p w:rsidR="006A7225" w:rsidRDefault="00AD341C" w:rsidP="00AD341C">
      <w:pPr>
        <w:pStyle w:val="BodyText"/>
        <w:spacing w:after="150" w:line="360" w:lineRule="auto"/>
        <w:jc w:val="both"/>
      </w:pPr>
      <w:proofErr w:type="spellStart"/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Mologhianu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G. Osteoarthri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tis pathogenesis - a complex process that involves the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>entire joint.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Journal of medicine and life.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2014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;7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(1):37-41. 7. </w:t>
      </w:r>
    </w:p>
    <w:p w:rsidR="006A7225" w:rsidRDefault="00AD341C" w:rsidP="00AD341C">
      <w:pPr>
        <w:pStyle w:val="BodyText"/>
        <w:spacing w:after="150" w:line="360" w:lineRule="auto"/>
        <w:jc w:val="both"/>
      </w:pP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Tan Q, Jiang A, Li W, Song C,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Leng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H. Metabolic syndrome and osteoarthritis: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 xml:space="preserve">Possible mechanisms and management strategies. 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Medicine i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n Novel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>Technology and Devices.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2021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;9:100052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. </w:t>
      </w:r>
    </w:p>
    <w:p w:rsidR="006A7225" w:rsidRDefault="00AD341C" w:rsidP="00AD341C">
      <w:pPr>
        <w:pStyle w:val="BodyText"/>
        <w:spacing w:after="150" w:line="360" w:lineRule="auto"/>
        <w:jc w:val="both"/>
      </w:pP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Pelletier J-P, Martel-Pelletier J, Abramson SB. Osteoarthritis, an inflammatory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 xml:space="preserve">disease: Potential implication for the selection of new therapeutic targets.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Arthritis &amp; Rheumatism.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2001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;44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(6):1237-1247.</w:t>
      </w:r>
    </w:p>
    <w:p w:rsidR="006A7225" w:rsidRDefault="00AD341C" w:rsidP="00AD341C">
      <w:pPr>
        <w:pStyle w:val="BodyText"/>
        <w:spacing w:after="150" w:line="360" w:lineRule="auto"/>
        <w:jc w:val="both"/>
      </w:pP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Li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u-Bryan R,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Terkeltaub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R. Emerging regulators of the inflammatory process in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 xml:space="preserve">osteoarthritis. 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Nature Reviews Rheumatology.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2015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;11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(1):35-44. </w:t>
      </w:r>
    </w:p>
    <w:p w:rsidR="006A7225" w:rsidRDefault="00AD341C" w:rsidP="00AD341C">
      <w:pPr>
        <w:pStyle w:val="BodyText"/>
        <w:spacing w:after="150" w:line="360" w:lineRule="auto"/>
        <w:jc w:val="both"/>
      </w:pP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lastRenderedPageBreak/>
        <w:t>Teoh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YX, Lai KW,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Usman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J,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Goh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SL,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Mohafez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H, </w:t>
      </w:r>
      <w:proofErr w:type="spell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Hasikin</w:t>
      </w:r>
      <w:proofErr w:type="spell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K, et al. Discovering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>Knee Osteoarthritis Imaging Features fo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r Diagnosis and Prognosis: Review of </w:t>
      </w:r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ab/>
        <w:t xml:space="preserve">Manual Imaging Grading and Machine Learning Approaches. 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Journal of healthcare engineering.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 xml:space="preserve"> 2022</w:t>
      </w:r>
      <w:proofErr w:type="gramStart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;2022:4138666</w:t>
      </w:r>
      <w:proofErr w:type="gramEnd"/>
      <w:r>
        <w:rPr>
          <w:rStyle w:val="Hyperlink"/>
          <w:rFonts w:ascii="Times New Roman" w:hAnsi="Times New Roman"/>
          <w:color w:val="000000"/>
          <w:sz w:val="28"/>
          <w:szCs w:val="28"/>
          <w:u w:val="none"/>
        </w:rPr>
        <w:t>.</w:t>
      </w:r>
    </w:p>
    <w:p w:rsidR="006A7225" w:rsidRDefault="00AD341C" w:rsidP="00AD341C">
      <w:pPr>
        <w:pStyle w:val="BodyText"/>
        <w:spacing w:after="150" w:line="360" w:lineRule="auto"/>
        <w:jc w:val="both"/>
        <w:rPr>
          <w:sz w:val="28"/>
          <w:szCs w:val="28"/>
        </w:rPr>
      </w:pPr>
      <w:bookmarkStart w:id="0" w:name="cite_note-4"/>
      <w:bookmarkEnd w:id="0"/>
      <w:proofErr w:type="spellStart"/>
      <w:r>
        <w:rPr>
          <w:rFonts w:ascii="Times New Roman" w:hAnsi="Times New Roman"/>
          <w:color w:val="000000"/>
          <w:sz w:val="28"/>
          <w:szCs w:val="28"/>
        </w:rPr>
        <w:t>Kuttner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K, Goldberg VM. Osteoarthritis disorders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Rosemout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InAmerican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Academy </w:t>
      </w:r>
      <w:r>
        <w:rPr>
          <w:rFonts w:ascii="Times New Roman" w:hAnsi="Times New Roman"/>
          <w:color w:val="000000"/>
          <w:sz w:val="28"/>
          <w:szCs w:val="28"/>
        </w:rPr>
        <w:tab/>
        <w:t xml:space="preserve">of, Orthopedic Surgeons 2012 </w:t>
      </w:r>
      <w:r>
        <w:rPr>
          <w:rFonts w:ascii="Times New Roman" w:hAnsi="Times New Roman"/>
          <w:color w:val="000000"/>
          <w:sz w:val="28"/>
          <w:szCs w:val="28"/>
        </w:rPr>
        <w:t>(pp. 21-25).</w:t>
      </w:r>
    </w:p>
    <w:p w:rsidR="006A7225" w:rsidRDefault="00AD341C" w:rsidP="00AD341C">
      <w:pPr>
        <w:pStyle w:val="BodyText"/>
        <w:spacing w:after="150" w:line="360" w:lineRule="auto"/>
        <w:jc w:val="both"/>
      </w:pPr>
      <w:bookmarkStart w:id="1" w:name="cite_note-8"/>
      <w:bookmarkEnd w:id="1"/>
      <w:proofErr w:type="spellStart"/>
      <w:r>
        <w:rPr>
          <w:rFonts w:ascii="Times New Roman" w:hAnsi="Times New Roman"/>
          <w:color w:val="000000"/>
          <w:sz w:val="28"/>
          <w:szCs w:val="28"/>
        </w:rPr>
        <w:t>Akazawa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N,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Okawa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N,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Kishi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M, Hino T, Tsuji R, Tamura K, Moriyama </w:t>
      </w:r>
      <w:r>
        <w:rPr>
          <w:rFonts w:ascii="Times New Roman" w:hAnsi="Times New Roman"/>
          <w:color w:val="000000"/>
          <w:sz w:val="28"/>
          <w:szCs w:val="28"/>
        </w:rPr>
        <w:tab/>
        <w:t>H. </w:t>
      </w:r>
      <w:hyperlink r:id="rId6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 xml:space="preserve">Quantitative features of intramuscular adipose tissue of the quadriceps and 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ab/>
          <w:t xml:space="preserve">their association with 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 xml:space="preserve">gait independence in older inpatients: A cross-sectional 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ab/>
          <w:t>study</w:t>
        </w:r>
      </w:hyperlink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Nutrition.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2020 Mar 1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;71:110600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6A7225" w:rsidRDefault="00AD341C" w:rsidP="00AD341C">
      <w:pPr>
        <w:pStyle w:val="BodyText"/>
        <w:spacing w:after="150" w:line="360" w:lineRule="auto"/>
        <w:jc w:val="both"/>
        <w:rPr>
          <w:sz w:val="28"/>
          <w:szCs w:val="28"/>
        </w:rPr>
      </w:pPr>
      <w:bookmarkStart w:id="2" w:name="cite_note-Crieland-10"/>
      <w:bookmarkEnd w:id="2"/>
      <w:proofErr w:type="spellStart"/>
      <w:r>
        <w:rPr>
          <w:rFonts w:ascii="Times New Roman" w:hAnsi="Times New Roman"/>
          <w:color w:val="000000"/>
          <w:sz w:val="28"/>
          <w:szCs w:val="28"/>
        </w:rPr>
        <w:t>Crielaard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JM,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Dequeker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J,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Famaey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JP.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</w:rPr>
        <w:t>Osteoartrose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Brussels: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Drukkerij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Lichtert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ab/>
        <w:t>1985.</w:t>
      </w:r>
    </w:p>
    <w:p w:rsidR="006A7225" w:rsidRDefault="00AD341C" w:rsidP="00AD341C">
      <w:pPr>
        <w:pStyle w:val="BodyText"/>
        <w:spacing w:after="150" w:line="360" w:lineRule="auto"/>
        <w:jc w:val="both"/>
      </w:pPr>
      <w:bookmarkStart w:id="3" w:name="cite_note-p6-15"/>
      <w:bookmarkEnd w:id="3"/>
      <w:r>
        <w:rPr>
          <w:rFonts w:ascii="Times New Roman" w:hAnsi="Times New Roman"/>
          <w:color w:val="000000"/>
          <w:sz w:val="28"/>
          <w:szCs w:val="28"/>
        </w:rPr>
        <w:t xml:space="preserve">Zhang W,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Moskowitz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RW,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Nuki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G, Abramson S, Altman RD, Arden N,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Bierma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-</w:t>
      </w:r>
      <w:r>
        <w:rPr>
          <w:rFonts w:ascii="Times New Roman" w:hAnsi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Zeinstra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S, Brandt KD, Croft P, Doherty M,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Dougados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M. </w:t>
      </w:r>
      <w:hyperlink r:id="rId7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 xml:space="preserve">OARSI 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ab/>
          <w:t xml:space="preserve">recommendations for the management of hip and knee osteoarthritis, Part II: 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ab/>
          <w:t>OARSI evidence-base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>d, expert consensus guidelines.</w:t>
        </w:r>
      </w:hyperlink>
      <w:r>
        <w:rPr>
          <w:rFonts w:ascii="Times New Roman" w:hAnsi="Times New Roman"/>
          <w:color w:val="000000"/>
          <w:sz w:val="28"/>
          <w:szCs w:val="28"/>
        </w:rPr>
        <w:t xml:space="preserve"> Osteoarthritis and </w:t>
      </w:r>
      <w:r>
        <w:rPr>
          <w:rFonts w:ascii="Times New Roman" w:hAnsi="Times New Roman"/>
          <w:color w:val="000000"/>
          <w:sz w:val="28"/>
          <w:szCs w:val="28"/>
        </w:rPr>
        <w:tab/>
        <w:t>cartilage 2018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;16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(2):137-62.</w:t>
      </w:r>
    </w:p>
    <w:p w:rsidR="006A7225" w:rsidRDefault="00AD341C" w:rsidP="00AD341C">
      <w:pPr>
        <w:pStyle w:val="BodyText"/>
        <w:spacing w:after="150" w:line="360" w:lineRule="auto"/>
        <w:jc w:val="both"/>
      </w:pPr>
      <w:bookmarkStart w:id="4" w:name="cite_note-16"/>
      <w:bookmarkEnd w:id="4"/>
      <w:proofErr w:type="spellStart"/>
      <w:r>
        <w:rPr>
          <w:rFonts w:ascii="Times New Roman" w:hAnsi="Times New Roman"/>
          <w:color w:val="000000"/>
          <w:sz w:val="28"/>
          <w:szCs w:val="28"/>
        </w:rPr>
        <w:t>Tsokanos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A,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Livieratou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E,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Billis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E,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Tsekoura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M,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Tatsios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P,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Tsepis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E,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Fousekis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K. </w:t>
      </w:r>
      <w:hyperlink r:id="rId8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 xml:space="preserve">The 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ab/>
          <w:t>Effica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 xml:space="preserve">cy of Manual Therapy in Patients with Knee Osteoarthritis: A Systematic 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ab/>
          <w:t>Review.</w:t>
        </w:r>
      </w:hyperlink>
      <w:r>
        <w:rPr>
          <w:rFonts w:ascii="Times New Roman" w:hAnsi="Times New Roman"/>
          <w:color w:val="000000"/>
          <w:sz w:val="28"/>
          <w:szCs w:val="28"/>
        </w:rPr>
        <w:t> 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</w:rPr>
        <w:t>Medicina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2021 Jul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;57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(7):696.</w:t>
      </w:r>
    </w:p>
    <w:p w:rsidR="006A7225" w:rsidRDefault="00AD341C" w:rsidP="00AD341C">
      <w:pPr>
        <w:pStyle w:val="BodyText"/>
        <w:spacing w:after="150" w:line="360" w:lineRule="auto"/>
        <w:jc w:val="both"/>
      </w:pPr>
      <w:bookmarkStart w:id="5" w:name="cite_note-p7-17"/>
      <w:bookmarkEnd w:id="5"/>
      <w:r>
        <w:rPr>
          <w:rFonts w:ascii="Times New Roman" w:hAnsi="Times New Roman"/>
          <w:color w:val="000000"/>
          <w:sz w:val="28"/>
          <w:szCs w:val="28"/>
        </w:rPr>
        <w:t xml:space="preserve">Fitzgerald GK,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Piva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SR, Gil AB, Wisniewski SR,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Oddis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CV,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Irrgang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JJ. </w:t>
      </w:r>
      <w:hyperlink r:id="rId9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 xml:space="preserve">Agility and 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ab/>
          <w:t xml:space="preserve">perturbation training techniques in exercise therapy for reducing pain and 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ab/>
          <w:t xml:space="preserve">improving function in people with knee osteoarthritis: a randomized clinical 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ab/>
          <w:t>trial.</w:t>
        </w:r>
      </w:hyperlink>
      <w:r>
        <w:rPr>
          <w:rFonts w:ascii="Times New Roman" w:hAnsi="Times New Roman"/>
          <w:color w:val="000000"/>
          <w:sz w:val="28"/>
          <w:szCs w:val="28"/>
        </w:rPr>
        <w:t> Physical therapy 2011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;91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(4):452-69.</w:t>
      </w:r>
    </w:p>
    <w:p w:rsidR="006A7225" w:rsidRDefault="00AD341C" w:rsidP="00AD341C">
      <w:pPr>
        <w:pStyle w:val="BodyText"/>
        <w:spacing w:after="150" w:line="360" w:lineRule="auto"/>
        <w:jc w:val="both"/>
        <w:rPr>
          <w:sz w:val="28"/>
          <w:szCs w:val="28"/>
        </w:rPr>
      </w:pPr>
      <w:bookmarkStart w:id="6" w:name="cite_note-Kellgren-20"/>
      <w:bookmarkEnd w:id="6"/>
      <w:proofErr w:type="spellStart"/>
      <w:r>
        <w:rPr>
          <w:rFonts w:ascii="Times New Roman" w:hAnsi="Times New Roman"/>
          <w:color w:val="000000"/>
          <w:sz w:val="28"/>
          <w:szCs w:val="28"/>
        </w:rPr>
        <w:t>Kellgren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JH.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Atlas of standard radiographs of arthritis.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Volume II of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The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ab/>
        <w:t>Epidemiologic of Chronic Rheumatism. Oxford: Blackwell, 1963.</w:t>
      </w:r>
    </w:p>
    <w:p w:rsidR="006A7225" w:rsidRDefault="00AD341C" w:rsidP="00AD341C">
      <w:pPr>
        <w:pStyle w:val="BodyText"/>
        <w:spacing w:after="150" w:line="360" w:lineRule="auto"/>
        <w:jc w:val="both"/>
      </w:pPr>
      <w:bookmarkStart w:id="7" w:name="cite_note-groot-21"/>
      <w:bookmarkEnd w:id="7"/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De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Groot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IB,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Reijman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M,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Terwee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CB,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Bierma-Zeinstra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SM,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Favejee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M,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Roos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EM, </w:t>
      </w:r>
      <w:r>
        <w:rPr>
          <w:rFonts w:ascii="Times New Roman" w:hAnsi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Verhaar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JA. </w:t>
      </w:r>
      <w:hyperlink r:id="rId10" w:tgtFrame="_blank">
        <w:proofErr w:type="gramStart"/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 xml:space="preserve">Validation of the Dutch version of the Hip disability and </w:t>
        </w:r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</w:rPr>
          <w:tab/>
          <w:t>Osteoarthritis Outcome Score.</w:t>
        </w:r>
        <w:proofErr w:type="gramEnd"/>
      </w:hyperlink>
      <w:r>
        <w:rPr>
          <w:rFonts w:ascii="tisapro-regular;Georgia;serif" w:hAnsi="tisapro-regular;Georgia;serif"/>
          <w:color w:val="020621"/>
          <w:sz w:val="28"/>
          <w:szCs w:val="28"/>
        </w:rPr>
        <w:t> Osteoarthritis and cartilage 2007</w:t>
      </w:r>
      <w:proofErr w:type="gramStart"/>
      <w:r>
        <w:rPr>
          <w:rFonts w:ascii="tisapro-regular;Georgia;serif" w:hAnsi="tisapro-regular;Georgia;serif"/>
          <w:color w:val="020621"/>
          <w:sz w:val="28"/>
          <w:szCs w:val="28"/>
        </w:rPr>
        <w:t>;15</w:t>
      </w:r>
      <w:proofErr w:type="gramEnd"/>
      <w:r>
        <w:rPr>
          <w:rFonts w:ascii="tisapro-regular;Georgia;serif" w:hAnsi="tisapro-regular;Georgia;serif"/>
          <w:color w:val="020621"/>
          <w:sz w:val="28"/>
          <w:szCs w:val="28"/>
        </w:rPr>
        <w:t>(1):104-9</w:t>
      </w:r>
    </w:p>
    <w:p w:rsidR="006A7225" w:rsidRDefault="006A7225" w:rsidP="00AD341C">
      <w:pPr>
        <w:spacing w:line="360" w:lineRule="auto"/>
        <w:jc w:val="both"/>
        <w:rPr>
          <w:sz w:val="28"/>
          <w:szCs w:val="28"/>
        </w:rPr>
      </w:pPr>
    </w:p>
    <w:sectPr w:rsidR="006A7225" w:rsidSect="00AD341C">
      <w:footerReference w:type="default" r:id="rId11"/>
      <w:pgSz w:w="11906" w:h="16838"/>
      <w:pgMar w:top="1134" w:right="1134" w:bottom="1134" w:left="1134" w:header="0" w:footer="0" w:gutter="0"/>
      <w:pgNumType w:start="23"/>
      <w:cols w:space="720"/>
      <w:formProt w:val="0"/>
      <w:docGrid w:linePitch="10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341C" w:rsidRDefault="00AD341C" w:rsidP="00AD341C">
      <w:r>
        <w:separator/>
      </w:r>
    </w:p>
  </w:endnote>
  <w:endnote w:type="continuationSeparator" w:id="1">
    <w:p w:rsidR="00AD341C" w:rsidRDefault="00AD341C" w:rsidP="00AD34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erif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sapro-regular;Georgia;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32320063"/>
      <w:docPartObj>
        <w:docPartGallery w:val="Page Numbers (Bottom of Page)"/>
        <w:docPartUnique/>
      </w:docPartObj>
    </w:sdtPr>
    <w:sdtContent>
      <w:p w:rsidR="00AD341C" w:rsidRDefault="00AD341C">
        <w:pPr>
          <w:pStyle w:val="Footer"/>
          <w:jc w:val="center"/>
        </w:pPr>
        <w:fldSimple w:instr=" PAGE   \* MERGEFORMAT ">
          <w:r>
            <w:rPr>
              <w:noProof/>
            </w:rPr>
            <w:t>23</w:t>
          </w:r>
        </w:fldSimple>
      </w:p>
    </w:sdtContent>
  </w:sdt>
  <w:p w:rsidR="00AD341C" w:rsidRDefault="00AD341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341C" w:rsidRDefault="00AD341C" w:rsidP="00AD341C">
      <w:r>
        <w:separator/>
      </w:r>
    </w:p>
  </w:footnote>
  <w:footnote w:type="continuationSeparator" w:id="1">
    <w:p w:rsidR="00AD341C" w:rsidRDefault="00AD341C" w:rsidP="00AD341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2"/>
  <w:proofState w:spelling="clean" w:grammar="clean"/>
  <w:defaultTabStop w:val="709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A7225"/>
    <w:rsid w:val="006A7225"/>
    <w:rsid w:val="00AD3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2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  <w:rsid w:val="006A7225"/>
  </w:style>
  <w:style w:type="character" w:styleId="Hyperlink">
    <w:name w:val="Hyperlink"/>
    <w:rsid w:val="006A7225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rsid w:val="006A7225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rsid w:val="006A7225"/>
    <w:pPr>
      <w:spacing w:after="140" w:line="276" w:lineRule="auto"/>
    </w:pPr>
  </w:style>
  <w:style w:type="paragraph" w:styleId="List">
    <w:name w:val="List"/>
    <w:basedOn w:val="BodyText"/>
    <w:rsid w:val="006A7225"/>
  </w:style>
  <w:style w:type="paragraph" w:styleId="Caption">
    <w:name w:val="caption"/>
    <w:basedOn w:val="Normal"/>
    <w:qFormat/>
    <w:rsid w:val="006A7225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6A7225"/>
    <w:pPr>
      <w:suppressLineNumbers/>
    </w:pPr>
  </w:style>
  <w:style w:type="paragraph" w:styleId="Header">
    <w:name w:val="header"/>
    <w:basedOn w:val="Normal"/>
    <w:link w:val="HeaderChar"/>
    <w:uiPriority w:val="99"/>
    <w:semiHidden/>
    <w:unhideWhenUsed/>
    <w:rsid w:val="00AD341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D341C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AD341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AD341C"/>
    <w:rPr>
      <w:rFonts w:cs="Mangal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mc/articles/PMC8304320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ciencedirect.com/science/article/pii/S1063458407003974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cbi.nlm.nih.gov/pubmed/31811998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s://www.sciencedirect.com/science/article/pii/S106345840600202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academic.oup.com/ptj/article/91/4/452/2734990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11</cp:revision>
  <cp:lastPrinted>2025-07-09T22:58:00Z</cp:lastPrinted>
  <dcterms:created xsi:type="dcterms:W3CDTF">2025-05-20T10:45:00Z</dcterms:created>
  <dcterms:modified xsi:type="dcterms:W3CDTF">2025-07-09T23:01:00Z</dcterms:modified>
  <dc:language>en-US</dc:language>
</cp:coreProperties>
</file>