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Steinmacher &amp; Lorenz Immobilien OHG</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13.02.2026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Nr.2026-02-13-12</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2"/>
        <w:gridCol w:w="1274"/>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10x gerenderte Ansicht folgender Einheit: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 10x Terrasse (Whg. XX)</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Eingerichtet individuell nach Ihren Wünschen (allerdings keine individuelle Modellierung konkreter Möbelstücke inkludiert)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9 Digitale Renovierungsfotos der Räume: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9 Digital Home Staging Fotos der Räume: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8 2D-Grundrisse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1 3D-Lageplan des Objektes in Draufsicht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5 gerenderte Außenansichten des Objektes „kkkkk" aus den folgenden Bodenperspektiven (siehe rote Pfeile):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4x gerenderte Außenansicht des Objektes „kkkkk" aus der folgenden Vogelperspektive (siehe blauen Pfeil):</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Nur in Kombination mit allen im Angebot aufgeführten Bodenperspektiven verfügbar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2 3D-Grundrisse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2 3D-Geschossansichten folgender Einheiten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werden 9 Digitale Renovierungsfotos der Außenansicht: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10x 2D-Makrolageplan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Darstellung der erweiterten Umgebung und Infrastruktur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18x 2D-Mikrolageplan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Darstellung der unmittelbaren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9x KI-generiertes Video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Basiert auf statischen Visualisierungen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Bewegtbilder durch künstliche Intelligenz</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Da KI-generiert, keine Revisionsrunde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b/>
                <w:bCs/>
                <w:color w:themeColor="text1" w:val="000000"/>
                <w:sz w:val="24"/>
                <w:szCs w:val="24"/>
              </w:rPr>
            </w:pPr>
            <w:r>
              <w:rPr>
                <w:b/>
                <w:bCs/>
                <w:color w:themeColor="text1" w:val="000000"/>
                <w:sz w:val="24"/>
                <w:szCs w:val="24"/>
              </w:rPr>
              <w:t xml:space="preserve">Boden-perspektive</w:t>
            </w:r>
          </w:p>
          <w:p>
            <w:pPr>
              <w:pStyle w:val="Normal"/>
              <w:spacing w:before="0" w:after="0"/>
              <w:rPr>
                <w:color w:themeColor="text1" w:val="000000"/>
                <w:sz w:val="24"/>
                <w:szCs w:val="24"/>
              </w:rPr>
            </w:pPr>
            <w:r>
              <w:rPr>
                <w:color w:themeColor="text1" w:val="000000"/>
                <w:sz w:val="24"/>
                <w:szCs w:val="24"/>
              </w:rPr>
              <w:t xml:space="preserve">(</w:t>
            </w:r>
            <w:r>
              <w:rPr>
                <w:rFonts w:cs="Calibri" w:cstheme="minorHAnsi"/>
                <w:color w:val="000000"/>
                <w:sz w:val="24"/>
                <w:szCs w:val="24"/>
              </w:rPr>
              <w:t xml:space="preserve">Projekt mit XX Wohneinheiten)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Geliefert wird 8 Slideshow-Video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aller Visualisierungen und weiterer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Professionell vertont und kommentiert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Inkl. Untertiteln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11.470,00€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2.179,30€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13.649,30€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20.02.2026.02.26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r>
        <w:rPr>
          <w:color w:themeColor="text1" w:val="000000"/>
          <w:sz w:val="24"/>
          <w:szCs w:val="24"/>
        </w:rPr>
        <w:t/>
      </w:r>
      <w:r>
        <w:rPr>
          <w:color w:themeColor="text1" w:val="000000"/>
          <w:sz w:val="24"/>
          <w:szCs w:val="24"/>
        </w:rPr>
        <w:t/>
      </w:r>
    </w:p>
    <w:p>
      <w:pPr>
        <w:pStyle w:val="Normal"/>
        <w:spacing w:lineRule="auto" w:line="240"/>
        <w:rPr>
          <w:sz w:val="24"/>
          <w:szCs w:val="24"/>
        </w:rPr>
      </w:pPr>
      <w:r>
        <w:rPr>
          <w:color w:themeColor="text1" w:val="000000"/>
          <w:sz w:val="24"/>
          <w:szCs w:val="24"/>
        </w:rPr>
        <w:t/>
      </w:r>
      <w:r>
        <w:rPr>
          <w:color w:themeColor="text1" w:val="000000"/>
          <w:sz w:val="24"/>
          <w:szCs w:val="24"/>
        </w:rPr>
        <w:t/>
      </w:r>
      <w:r>
        <w:rPr>
          <w:color w:themeColor="text1" w:val="000000"/>
          <w:sz w:val="24"/>
          <w:szCs w:val="24"/>
        </w:rPr>
        <w:t xml:space="preserve">Voraussichtl. Leistungsdatum: 7-10 Werktage</w:t>
      </w:r>
      <w:r>
        <w:rPr>
          <w:sz w:val="24"/>
          <w:szCs w:val="24"/>
        </w:rPr>
        <w:t xml:space="preserve">Arbeitstage </w:t>
      </w:r>
      <w:bookmarkStart w:id="0" w:name="_Hlk133315080"/>
      <w:r>
        <w:rPr>
          <w:b/>
          <w:bCs/>
          <w:sz w:val="24"/>
          <w:szCs w:val="24"/>
        </w:rPr>
        <w:t xml:space="preserve">nach Eingang der Anzahlung i.H.v. 50% des Bruttopreises (6.824,65EUR)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
      <w:bookmarkStart w:id="3" w:name="_Hlk174617329"/>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4</Pages>
  <Words>663</Words>
  <Characters>4689</Characters>
  <CharactersWithSpaces>5317</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2026-02-13T14:58:56Z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