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Werte Wachstum Immobilien GmbH &amp; Co. KG</w:t>
      </w:r>
      <w:r>
        <w:rPr/>
        <w:br/>
      </w:r>
      <w:r>
        <w:rPr>
          <w:color w:themeColor="text1" w:val="000000"/>
          <w:sz w:val="24"/>
          <w:szCs w:val="24"/>
          <w:lang w:val="en-US"/>
        </w:rPr>
        <w:t xml:space="preserve">no 10 Gardol off Emanuel olorunfemi lagos</w:t>
      </w:r>
      <w:r>
        <w:rPr/>
        <w:br/>
      </w:r>
      <w:r>
        <w:rPr>
          <w:color w:themeColor="text1" w:val="000000"/>
          <w:sz w:val="24"/>
          <w:szCs w:val="24"/>
          <w:lang w:val="en-US"/>
        </w:rPr>
        <w:t xml:space="preserve">100001 Lagos</w:t>
      </w:r>
      <w:r>
        <w:rPr/>
        <w:br/>
      </w:r>
      <w:r>
        <w:rPr>
          <w:color w:themeColor="text1" w:val="000000"/>
          <w:sz w:val="24"/>
          <w:szCs w:val="24"/>
          <w:lang w:val="en-US"/>
        </w:rPr>
        <w:t xml:space="preserve">Schweiz</w:t>
      </w:r>
    </w:p>
    <w:p>
      <w:pPr>
        <w:pStyle w:val="Normal"/>
        <w:spacing w:lineRule="auto" w:line="240"/>
        <w:jc w:val="right"/>
        <w:rPr>
          <w:color w:val="000000"/>
          <w:sz w:val="24"/>
          <w:szCs w:val="24"/>
        </w:rPr>
      </w:pPr>
      <w:r>
        <w:rPr>
          <w:color w:themeColor="text1" w:val="000000"/>
          <w:sz w:val="24"/>
          <w:szCs w:val="24"/>
        </w:rPr>
        <w:t xml:space="preserve">19.02.2026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Nr.2026-02-19-9</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2"/>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5"/>
        <w:gridCol w:w="1271"/>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gerenderte Außenansichten des Objektes „Das Projekt" aus den folgenden Bodenperspektiven (siehe rote Pfeile):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2x gerenderte Außenansicht des Objektes „Das Projekt" aus der folgenden Vogelperspektive (siehe blauen Pfeil):</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Nur in Kombination mit allen im Angebot aufgeführten Bodenperspektiven verfügbar</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1.678,00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1 3D-Geschossansichten folgender Einheiten</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59.900,00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3</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3 2D-Grundrisse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 Home Staging 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360° Tour Innen (Virtuelle Tour)</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9x 360° Tour folgender Wohneinheit:</w:t>
            </w:r>
          </w:p>
          <w:p>
            <w:pPr>
              <w:pStyle w:val="ListParagraph"/>
              <w:numPr>
                <w:ilvl w:val="0"/>
                <w:numId w:val="1"/>
              </w:numPr>
              <w:spacing w:before="0" w:after="0" w:line="240" w:lineRule="auto"/>
              <w:ind w:left="360" w:hanging="360"/>
            </w:pPr>
            <w:r>
              <w:rPr>
                <w:rFonts w:ascii="Calibri" w:hAnsi="Calibri" w:cs="Calibri"/>
                <w:sz w:val="24"/>
                <w:szCs w:val="24"/>
                <w:b w:val="0"/>
              </w:rPr>
              <w:t>Begehung des kompletten Innenbereichs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Einzigartige Technologie, da vollkommen frei bewegbar</w:t>
            </w:r>
          </w:p>
          <w:p>
            <w:pPr>
              <w:pStyle w:val="ListParagraph"/>
              <w:numPr>
                <w:ilvl w:val="0"/>
                <w:numId w:val="1"/>
              </w:numPr>
              <w:spacing w:before="0" w:after="0" w:line="240" w:lineRule="auto"/>
              <w:ind w:left="360" w:hanging="360"/>
            </w:pPr>
            <w:r>
              <w:rPr>
                <w:rFonts w:ascii="Calibri" w:hAnsi="Calibri" w:cs="Calibri"/>
                <w:sz w:val="24"/>
                <w:szCs w:val="24"/>
                <w:b w:val="0"/>
              </w:rPr>
              <w:t>Intuitive Bedienung</w:t>
            </w:r>
          </w:p>
          <w:p>
            <w:pPr>
              <w:pStyle w:val="ListParagraph"/>
              <w:numPr>
                <w:ilvl w:val="0"/>
                <w:numId w:val="1"/>
              </w:numPr>
              <w:spacing w:before="0" w:after="0" w:line="240" w:lineRule="auto"/>
              <w:ind w:left="360" w:hanging="360"/>
            </w:pPr>
            <w:r>
              <w:rPr>
                <w:rFonts w:ascii="Calibri" w:hAnsi="Calibri" w:cs="Calibri"/>
                <w:sz w:val="24"/>
                <w:szCs w:val="24"/>
                <w:b w:val="0"/>
              </w:rPr>
              <w:t>Passend für alle gängigen Endgeräte</w:t>
            </w:r>
          </w:p>
          <w:p>
            <w:pPr>
              <w:pStyle w:val="ListParagraph"/>
              <w:numPr>
                <w:ilvl w:val="0"/>
                <w:numId w:val="1"/>
              </w:numPr>
              <w:spacing w:before="0" w:after="0" w:line="240" w:lineRule="auto"/>
              <w:ind w:left="360" w:hanging="360"/>
            </w:pPr>
            <w:r>
              <w:rPr>
                <w:rFonts w:ascii="Calibri" w:hAnsi="Calibri" w:cs="Calibri"/>
                <w:sz w:val="24"/>
                <w:szCs w:val="24"/>
                <w:b w:val="0"/>
              </w:rPr>
              <w:t>Inklusive Fensteraussicht (wahlweise mit beispielhafter oder Verwendung der tatsächlichen Aussicht mittels vom Auftraggeber gelieferten Bildern)</w:t>
            </w:r>
          </w:p>
          <w:p>
            <w:pPr>
              <w:pStyle w:val="ListParagraph"/>
              <w:numPr>
                <w:ilvl w:val="0"/>
                <w:numId w:val="1"/>
              </w:numPr>
              <w:spacing w:before="0" w:after="0" w:line="240" w:lineRule="auto"/>
              <w:ind w:left="360" w:hanging="360"/>
            </w:pPr>
            <w:r>
              <w:rPr>
                <w:rFonts w:ascii="Calibri" w:hAnsi="Calibri" w:cs="Calibri"/>
                <w:sz w:val="24"/>
                <w:szCs w:val="24"/>
                <w:b w:val="0"/>
              </w:rPr>
              <w:t>Inkl. 2 Revisionsrunden⁽¹⁾</w:t>
            </w:r>
          </w:p>
          <w:p>
            <w:pPr>
              <w:pStyle w:val="ListParagraph"/>
              <w:numPr>
                <w:ilvl w:val="0"/>
                <w:numId w:val="1"/>
              </w:numPr>
              <w:spacing w:before="0" w:after="0" w:line="240" w:lineRule="auto"/>
              <w:ind w:left="360" w:hanging="360"/>
            </w:pPr>
            <w:r>
              <w:rPr>
                <w:rFonts w:ascii="Calibri" w:hAnsi="Calibri" w:cs="Calibri"/>
                <w:sz w:val="24"/>
                <w:szCs w:val="24"/>
                <w:b w:val="0"/>
              </w:rPr>
              <w:t>Inkl. Hosting für 12 Monate⁽²⁾</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"https://www.exposeprofi.de/3d-visualisierungen/virtuelle-rundgaenge"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88,00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Video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9.987,00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1678,00 €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17.201,08€</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26.02.2026.undefined.26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(53.866,54EUR)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4</Pages>
  <Words>683</Words>
  <Characters>4886</Characters>
  <CharactersWithSpaces>5537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2026-02-18T12:38:17Z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