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Werte Wachstum Immobilien GmbH &amp; Co. KG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17.02.2026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Nr.2026-02-17-8</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3"/>
        <w:gridCol w:w="1273"/>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10x gerenderte Ansicht folgender Einheit: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10x Terrasse (Whg. XX)</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Eingerichtet individuell nach Ihren Wünschen (allerdings keine individuelle Modellierung konkreter Möbelstücke inkludiert)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 Home Staging Fotos der Räume: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Individuell eingerichtet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"https://www.exposeprofi.de/digitales-home-staging"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8 2D-Grundrisse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"https://www.exposeprofi.de/workflow/2d-grundriss-designs"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 3D-Lageplan des Objektes in Draufsicht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5 gerenderte Außenansichten des Objektes „kkkkk" aus den folgenden Bodenperspektiven (siehe rote Pfeile):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4x gerenderte Außenansicht des Objektes „kkkkk" aus der folgenden Vogelperspektive (siehe blauen Pfeil):</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Nur in Kombination mit allen im Angebot aufgeführten Bodenperspektiven verfügbar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2 3D-Grundrisse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"https://www.exposeprofi.de/3d-visualisierungen/3d-grundrisse"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2 3D-Geschossansichten folgender Einheiten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9 Digitale Renovierungsfotos der Außenansicht: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vom Kunden bereitgestellten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Exakt identische Perspektive wie zugrundeliegende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10x 2D-Makrolageplan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Darstellung der erweiterten Umgebung und Infrastruktur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18x 2D-Mikrolageplan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Darstellung der unmittelbaren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9x KI-generiertes 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Basiert auf statischen Visualisierungen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Bewegtbilder durch künstliche Intelligenz</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Da KI-generiert, keine Revisionsrunde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8 Slideshow-Video des Objektes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aller Visualisierungen und weiterer Fotos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Professionell vertont und kommentiert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Untertiteln</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  Referenzen: </w:t>
            </w:r>
            <w:r>
              <w:fldChar w:fldCharType="begin"/>
            </w:r>
            <w:r>
              <w:instrText xml:space="preserve"> HYPERLINK "https://www.exposeprofi.de/3d-visualisierungen/architekturvisualisierungen#referenzen-virtueller-videorundgang"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11.470,00€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2.179,30€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13.649,30€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24.02.2026.02.26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7-10 Werktage</w:t>
      </w:r>
      <w:r>
        <w:rPr>
          <w:sz w:val="24"/>
          <w:szCs w:val="24"/>
        </w:rPr>
        <w:t xml:space="preserve">Arbeitstage </w:t>
      </w:r>
      <w:bookmarkStart w:id="0" w:name="_Hlk133315080"/>
      <w:r>
        <w:rPr>
          <w:b/>
          <w:bCs/>
          <w:sz w:val="24"/>
          <w:szCs w:val="24"/>
        </w:rPr>
        <w:t xml:space="preserve">nach Eingang der Anzahlung i.H.v. 50% des Bruttopreises (6.824,65EUR)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_Copy_1"/>
      <w:bookmarkStart w:id="3" w:name="_Hlk174617329_Copy_1"/>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690</Words>
  <Characters>4967</Characters>
  <CharactersWithSpaces>5634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2026-02-17T10:19:16Z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