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16"/>
          <w:szCs w:val="16"/>
        </w:rPr>
      </w:pPr>
      <w:r>
        <w:rPr>
          <w:color w:val="002060"/>
          <w:sz w:val="16"/>
          <w:szCs w:val="16"/>
        </w:rPr>
      </w:r>
    </w:p>
    <w:p>
      <w:pPr>
        <w:pStyle w:val="Normal"/>
        <w:rPr>
          <w:color w:val="002060"/>
          <w:sz w:val="16"/>
          <w:szCs w:val="16"/>
        </w:rPr>
      </w:pPr>
      <w:r>
        <w:rPr>
          <w:color w:val="002060"/>
          <w:sz w:val="16"/>
          <w:szCs w:val="16"/>
        </w:rPr>
        <w:t>ExposeProfi.de | EPCS GmbH | Bruder-Klaus-Straße 3a | 78467 Konstanz</w:t>
      </w:r>
    </w:p>
    <w:p>
      <w:pPr>
        <w:pStyle w:val="Normal"/>
        <w:spacing w:lineRule="auto" w:line="240"/>
        <w:rPr>
          <w:color w:val="000000"/>
          <w:sz w:val="24"/>
          <w:szCs w:val="24"/>
          <w:lang w:val="en-US"/>
        </w:rPr>
      </w:pPr>
      <w:r>
        <w:rPr>
          <w:b/>
          <w:bCs/>
          <w:color w:themeColor="text1" w:val="000000"/>
          <w:sz w:val="24"/>
          <w:szCs w:val="24"/>
          <w:lang w:val="en-US"/>
        </w:rPr>
        <w:t xml:space="preserve">Rockstar Immobilien GmbH</w:t>
      </w:r>
      <w:r>
        <w:rPr/>
        <w:br/>
      </w:r>
      <w:r>
        <w:rPr>
          <w:color w:themeColor="text1" w:val="000000"/>
          <w:sz w:val="24"/>
          <w:szCs w:val="24"/>
          <w:lang w:val="en-US"/>
        </w:rPr>
        <w:t xml:space="preserve">No 6 Cocker Street</w:t>
      </w:r>
      <w:r>
        <w:rPr/>
        <w:br/>
      </w:r>
      <w:r>
        <w:rPr>
          <w:color w:themeColor="text1" w:val="000000"/>
          <w:sz w:val="24"/>
          <w:szCs w:val="24"/>
          <w:lang w:val="en-US"/>
        </w:rPr>
        <w:t xml:space="preserve">100001 Berlin</w:t>
      </w:r>
      <w:r>
        <w:rPr/>
        <w:br/>
      </w:r>
      <w:r>
        <w:rPr>
          <w:color w:themeColor="text1" w:val="000000"/>
          <w:sz w:val="24"/>
          <w:szCs w:val="24"/>
          <w:lang w:val="en-US"/>
        </w:rPr>
        <w:t xml:space="preserve">Deutschland</w:t>
      </w:r>
    </w:p>
    <w:p>
      <w:pPr>
        <w:pStyle w:val="Normal"/>
        <w:spacing w:lineRule="auto" w:line="240"/>
        <w:jc w:val="right"/>
        <w:rPr>
          <w:color w:val="000000"/>
          <w:sz w:val="24"/>
          <w:szCs w:val="24"/>
        </w:rPr>
      </w:pPr>
      <w:r>
        <w:rPr>
          <w:color w:themeColor="text1" w:val="000000"/>
          <w:sz w:val="24"/>
          <w:szCs w:val="24"/>
        </w:rPr>
        <w:t xml:space="preserve">24.02.2026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rPr>
      </w:pPr>
      <w:r>
        <w:rPr>
          <w:b/>
          <w:bCs/>
          <w:color w:themeColor="text1" w:val="000000"/>
          <w:sz w:val="32"/>
          <w:szCs w:val="32"/>
        </w:rPr>
        <w:t xml:space="preserve">Angebot Nr.2026-02-24-10</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2"/>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2"/>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993"/>
        <w:gridCol w:w="1842"/>
        <w:gridCol w:w="4965"/>
        <w:gridCol w:w="1271"/>
      </w:tblGrid>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9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11</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Projektwebseite (Profi-Design)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Erstellung einer modernen, responsiven Website zur professionellen Präsentation des Projekts</w:t>
            </w:r>
          </w:p>
          <w:p>
            <w:pPr>
              <w:pStyle w:val="ListParagraph"/>
              <w:numPr>
                <w:ilvl w:val="1"/>
                <w:numId w:val="1"/>
              </w:numPr>
              <w:spacing w:before="0" w:after="0" w:line="240" w:lineRule="auto"/>
              <w:ind w:left="720" w:hanging="360"/>
            </w:pPr>
            <w:r>
              <w:rPr>
                <w:rFonts w:ascii="Calibri" w:hAnsi="Calibri" w:cs="Calibri"/>
                <w:sz w:val="24"/>
                <w:szCs w:val="24"/>
                <w:b w:val="0"/>
              </w:rPr>
              <w:t>sub bullet</w:t>
            </w:r>
          </w:p>
          <w:p>
            <w:pPr>
              <w:pStyle w:val="ListParagraph"/>
              <w:numPr>
                <w:ilvl w:val="2"/>
                <w:numId w:val="1"/>
              </w:numPr>
              <w:spacing w:before="0" w:after="0" w:line="240" w:lineRule="auto"/>
              <w:ind w:left="1080" w:hanging="360"/>
            </w:pPr>
            <w:r>
              <w:rPr>
                <w:rFonts w:ascii="Calibri" w:hAnsi="Calibri" w:cs="Calibri"/>
                <w:sz w:val="24"/>
                <w:szCs w:val="24"/>
                <w:b w:val="0"/>
              </w:rPr>
              <w:t>sub sub bullet</w:t>
            </w:r>
          </w:p>
          <w:p>
            <w:pPr>
              <w:pStyle w:val="ListParagraph"/>
              <w:numPr>
                <w:ilvl w:val="0"/>
                <w:numId w:val="1"/>
              </w:numPr>
              <w:spacing w:before="0" w:after="0" w:line="240" w:lineRule="auto"/>
              <w:ind w:left="360" w:hanging="360"/>
            </w:pPr>
            <w:r>
              <w:rPr>
                <w:rFonts w:ascii="Calibri" w:hAnsi="Calibri" w:cs="Calibri"/>
                <w:sz w:val="24"/>
                <w:szCs w:val="24"/>
                <w:b w:val="0"/>
              </w:rPr>
              <w:t>Individuelles Design, visuell hochwertig, klar strukturiert und zielgruppenorientiert</w:t>
            </w:r>
          </w:p>
          <w:p>
            <w:pPr>
              <w:pStyle w:val="ListParagraph"/>
              <w:numPr>
                <w:ilvl w:val="0"/>
                <w:numId w:val="1"/>
              </w:numPr>
              <w:spacing w:before="0" w:after="0" w:line="240" w:lineRule="auto"/>
              <w:ind w:left="360" w:hanging="360"/>
            </w:pPr>
            <w:r>
              <w:rPr>
                <w:rFonts w:ascii="Calibri" w:hAnsi="Calibri" w:cs="Calibri"/>
                <w:sz w:val="24"/>
                <w:szCs w:val="24"/>
                <w:b w:val="0"/>
              </w:rPr>
              <w:t>Optimiert für alle gängigen Geräte, Bildschirmgrößen und Browser</w:t>
            </w:r>
          </w:p>
          <w:p>
            <w:pPr>
              <w:pStyle w:val="ListParagraph"/>
              <w:numPr>
                <w:ilvl w:val="0"/>
                <w:numId w:val="1"/>
              </w:numPr>
              <w:spacing w:before="0" w:after="0" w:line="240" w:lineRule="auto"/>
              <w:ind w:left="360" w:hanging="360"/>
            </w:pPr>
            <w:r>
              <w:rPr>
                <w:rFonts w:ascii="Calibri" w:hAnsi="Calibri" w:cs="Calibri"/>
                <w:sz w:val="24"/>
                <w:szCs w:val="24"/>
                <w:b w:val="0"/>
              </w:rPr>
              <w:t>Vollständig funktionsfähig und onlinefähig ausgeliefert</w:t>
            </w:r>
          </w:p>
          <w:p>
            <w:pPr>
              <w:pStyle w:val="ListParagraph"/>
              <w:numPr>
                <w:ilvl w:val="0"/>
                <w:numId w:val="1"/>
              </w:numPr>
              <w:spacing w:before="0" w:after="0" w:line="240" w:lineRule="auto"/>
              <w:ind w:left="360" w:hanging="360"/>
            </w:pPr>
            <w:r>
              <w:rPr>
                <w:rFonts w:ascii="Calibri" w:hAnsi="Calibri" w:cs="Calibri"/>
                <w:sz w:val="24"/>
                <w:szCs w:val="24"/>
                <w:b w:val="0"/>
              </w:rPr>
              <w:t>Inkl. Hosting für 12 Monate</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499,00 €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349,00 €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399,00 €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289,00 €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269,00 €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259,00 €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6 Ansichten: Netto pro Ansicht: 249,00 €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7 Ansichten: Netto pro Ansicht: 239,00 €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8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9 Ansichten: Netto pro Ansicht: 219,00 €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≥10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Bodenperspektive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10 gerenderte Außenansichten des Objektes „test" aus den folgenden Bodenperspektiven (siehe rote Pfeile):</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Auf Wunsch eingefügt in von Ihnen zu liefernde Drohnenfotos oder schematische Modellierung der Umgebung</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499,00 €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349,00 €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399,00 €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289,00 €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269,00 €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259,00 €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6 Ansichten: Netto pro Ansicht: 249,00 €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7 Ansichten: Netto pro Ansicht: 239,00 €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8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9 Ansichten: Netto pro Ansicht: 219,00 €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≥10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3D-Außenvisualisierung Vogelperspektive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xml:space="preserve">(Projekt mit XX Wohneinheiten)</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10x gerenderte Außenansicht des Objektes „test" aus der folgenden Vogelperspektive (siehe blauen Pfeil):</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Auf Wunsch eingefügt in von Ihnen zu liefernde Drohnenfotos oder schematische Modellierung der Umgebung</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p>
            <w:pPr>
              <w:pStyle w:val="ListParagraph"/>
              <w:numPr>
                <w:ilvl w:val="0"/>
                <w:numId w:val="1"/>
              </w:numPr>
              <w:spacing w:before="0" w:after="0" w:line="240" w:lineRule="auto"/>
              <w:ind w:left="360" w:hanging="360"/>
            </w:pPr>
            <w:r>
              <w:rPr>
                <w:rFonts w:ascii="Calibri" w:hAnsi="Calibri" w:cs="Calibri"/>
                <w:sz w:val="24"/>
                <w:szCs w:val="24"/>
                <w:b w:val="0"/>
              </w:rPr>
              <w:t>Nur in Kombination mit allen im Angebot aufgeführten Bodenperspektiven verfügbar</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"https://www.exposeprofi.de/3d-visualisierungen/architekturvisualisierungen"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499,00 €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349,00 €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399,00 €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289,00 €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269,00 €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259,00 €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6 Ansichten: Netto pro Ansicht: 249,00 €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7 Ansichten: Netto pro Ansicht: 239,00 €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8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9 Ansichten: Netto pro Ansicht: 219,00 €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≥10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3D-Innenvisualisierung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10 gerenderte Innenansichten der Räume:</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Eingerichtet individuell nach Ihren Wünschen (allerdings keine individuelle Modellierung konkreter Möbelstücke inkludiert)</w:t>
            </w:r>
          </w:p>
          <w:p>
            <w:pPr>
              <w:pStyle w:val="ListParagraph"/>
              <w:numPr>
                <w:ilvl w:val="0"/>
                <w:numId w:val="1"/>
              </w:numPr>
              <w:spacing w:before="0" w:after="0" w:line="240" w:lineRule="auto"/>
              <w:ind w:left="360" w:hanging="360"/>
            </w:pPr>
            <w:r>
              <w:rPr>
                <w:rFonts w:ascii="Calibri" w:hAnsi="Calibri" w:cs="Calibri"/>
                <w:sz w:val="24"/>
                <w:szCs w:val="24"/>
                <w:b w:val="0"/>
              </w:rPr>
              <w:t>Falls Türen zwischen einzelnen Räumen zu sehen sind, werden diese als geschlossen dargestellt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"https://www.exposeprofi.de/3d-visualisierungen/innenvisualisierungen"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499,00 €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349,00 €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399,00 €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289,00 €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269,00 €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259,00 €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6 Ansichten: Netto pro Ansicht: 249,00 €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7 Ansichten: Netto pro Ansicht: 239,00 €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8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9 Ansichten: Netto pro Ansicht: 219,00 €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≥10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3D-Visualisierung Terrasse</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9x gerenderte Ansicht folgender Einheit:</w:t>
            </w:r>
          </w:p>
          <w:p>
            <w:pPr>
              <w:pStyle w:val="ListParagraph"/>
              <w:numPr>
                <w:ilvl w:val="1"/>
                <w:numId w:val="1"/>
              </w:numPr>
              <w:spacing w:before="0" w:after="0" w:line="240" w:lineRule="auto"/>
              <w:ind w:left="720" w:hanging="360"/>
            </w:pPr>
            <w:r>
              <w:rPr>
                <w:rFonts w:ascii="Calibri" w:hAnsi="Calibri" w:cs="Calibri"/>
                <w:sz w:val="24"/>
                <w:szCs w:val="24"/>
                <w:b w:val="0"/>
              </w:rPr>
              <w:t>9x Terrasse (Whg. XX)</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Eingerichtet individuell nach Ihren Wünschen (allerdings keine individuelle Modellierung konkreter Möbelstücke inkludiert)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Format: 2.500 x 1.500 px (300 DPI)</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499,00 €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349,00 €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399,00 €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289,00 €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269,00 €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259,00 €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6 Ansichten: Netto pro Ansicht: 249,00 €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7 Ansichten: Netto pro Ansicht: 239,00 €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8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9 Ansichten: Netto pro Ansicht: 219,00 €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≥10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3D-Grundriss Spezial</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9 3D-Grundrisse Spezial</w:t>
            </w:r>
          </w:p>
          <w:p>
            <w:pPr>
              <w:pStyle w:val="ListParagraph"/>
              <w:numPr>
                <w:ilvl w:val="0"/>
                <w:numId w:val="1"/>
              </w:numPr>
              <w:spacing w:before="0" w:after="0" w:line="240" w:lineRule="auto"/>
              <w:ind w:left="360" w:hanging="360"/>
            </w:pPr>
            <w:r>
              <w:rPr>
                <w:rFonts w:ascii="Calibri" w:hAnsi="Calibri" w:cs="Calibri"/>
                <w:sz w:val="24"/>
                <w:szCs w:val="24"/>
                <w:b w:val="0"/>
              </w:rPr>
              <w:t>Hochwertig standardmöbliert</w:t>
            </w:r>
          </w:p>
          <w:p>
            <w:pPr>
              <w:pStyle w:val="ListParagraph"/>
              <w:numPr>
                <w:ilvl w:val="0"/>
                <w:numId w:val="1"/>
              </w:numPr>
              <w:spacing w:before="0" w:after="0" w:line="240" w:lineRule="auto"/>
              <w:ind w:left="360" w:hanging="360"/>
            </w:pPr>
            <w:r>
              <w:rPr>
                <w:rFonts w:ascii="Calibri" w:hAnsi="Calibri" w:cs="Calibri"/>
                <w:sz w:val="24"/>
                <w:szCs w:val="24"/>
                <w:b w:val="0"/>
              </w:rPr>
              <w:t>Premium Qualität mit erweiterten Details</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2.500px x 1.500 px bei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"https://www.exposeprofi.de/3d-visualisierungen/3d-grundrisse"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99,00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499,00 €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349,00 €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399,00 €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289,00 €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269,00 €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259,00 €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6 Ansichten: Netto pro Ansicht: 249,00 €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7 Ansichten: Netto pro Ansicht: 239,00 €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8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9 Ansichten: Netto pro Ansicht: 219,00 €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≥10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9</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2D-Grundriss</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9 2D-Grundrisse</w:t>
            </w:r>
          </w:p>
          <w:p>
            <w:pPr>
              <w:pStyle w:val="ListParagraph"/>
              <w:numPr>
                <w:ilvl w:val="0"/>
                <w:numId w:val="1"/>
              </w:numPr>
              <w:spacing w:before="0" w:after="0" w:line="240" w:lineRule="auto"/>
              <w:ind w:left="360" w:hanging="360"/>
            </w:pPr>
            <w:r>
              <w:rPr>
                <w:rFonts w:ascii="Calibri" w:hAnsi="Calibri" w:cs="Calibri"/>
                <w:sz w:val="24"/>
                <w:szCs w:val="24"/>
                <w:b w:val="0"/>
              </w:rPr>
              <w:t>Hochwertig standardmöbliert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2.500px x 1.500 px bei 300 DPI</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"https://www.exposeprofi.de/workflow/2d-grundriss-designs"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49,00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499,00 €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349,00 €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399,00 €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289,00 €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269,00 €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259,00 €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6 Ansichten: Netto pro Ansicht: 249,00 €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7 Ansichten: Netto pro Ansicht: 239,00 €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8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9 Ansichten: Netto pro Ansicht: 219,00 €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≥10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3D-Lageplan</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10 3D-Lageplan des Objektes in Draufsicht</w:t>
            </w:r>
          </w:p>
          <w:p>
            <w:pPr>
              <w:pStyle w:val="ListParagraph"/>
              <w:numPr>
                <w:ilvl w:val="0"/>
                <w:numId w:val="1"/>
              </w:numPr>
              <w:spacing w:before="0" w:after="0" w:line="240" w:lineRule="auto"/>
              <w:ind w:left="360" w:hanging="360"/>
            </w:pPr>
            <w:r>
              <w:rPr>
                <w:rFonts w:ascii="Calibri" w:hAnsi="Calibri" w:cs="Calibri"/>
                <w:sz w:val="24"/>
                <w:szCs w:val="24"/>
                <w:b w:val="0"/>
              </w:rPr>
              <w:t>Exklusive Qualität</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499,00 €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349,00 €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399,00 €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289,00 €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269,00 €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259,00 €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6 Ansichten: Netto pro Ansicht: 249,00 €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7 Ansichten: Netto pro Ansicht: 239,00 €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8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9 Ansichten: Netto pro Ansicht: 219,00 €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≥10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10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Digitale Renovierung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werden 10 Digitale Renovierungsfotos der Räume:</w:t>
            </w:r>
          </w:p>
          <w:p>
            <w:pPr>
              <w:pStyle w:val="ListParagraph"/>
              <w:numPr>
                <w:ilvl w:val="0"/>
                <w:numId w:val="1"/>
              </w:numPr>
              <w:spacing w:before="0" w:after="0" w:line="240" w:lineRule="auto"/>
              <w:ind w:left="360" w:hanging="360"/>
            </w:pPr>
            <w:r>
              <w:rPr>
                <w:rFonts w:ascii="Calibri" w:hAnsi="Calibri" w:cs="Calibri"/>
                <w:sz w:val="24"/>
                <w:szCs w:val="24"/>
                <w:b w:val="0"/>
              </w:rPr>
              <w:t>Basiert auf vom Kunden bereitgestellten Fotos</w:t>
            </w:r>
          </w:p>
          <w:p>
            <w:pPr>
              <w:pStyle w:val="ListParagraph"/>
              <w:numPr>
                <w:ilvl w:val="0"/>
                <w:numId w:val="1"/>
              </w:numPr>
              <w:spacing w:before="0" w:after="0" w:line="240" w:lineRule="auto"/>
              <w:ind w:left="360" w:hanging="360"/>
            </w:pPr>
            <w:r>
              <w:rPr>
                <w:rFonts w:ascii="Calibri" w:hAnsi="Calibri" w:cs="Calibri"/>
                <w:sz w:val="24"/>
                <w:szCs w:val="24"/>
                <w:b w:val="0"/>
              </w:rPr>
              <w:t>Individuell eingerichtet</w:t>
            </w:r>
          </w:p>
          <w:p>
            <w:pPr>
              <w:pStyle w:val="ListParagraph"/>
              <w:numPr>
                <w:ilvl w:val="0"/>
                <w:numId w:val="1"/>
              </w:numPr>
              <w:spacing w:before="0" w:after="0" w:line="240" w:lineRule="auto"/>
              <w:ind w:left="360" w:hanging="360"/>
            </w:pPr>
            <w:r>
              <w:rPr>
                <w:rFonts w:ascii="Calibri" w:hAnsi="Calibri" w:cs="Calibri"/>
                <w:sz w:val="24"/>
                <w:szCs w:val="24"/>
                <w:b w:val="0"/>
              </w:rPr>
              <w:t>Fotorealistische Qualität</w:t>
            </w:r>
          </w:p>
          <w:p>
            <w:pPr>
              <w:pStyle w:val="ListParagraph"/>
              <w:numPr>
                <w:ilvl w:val="0"/>
                <w:numId w:val="1"/>
              </w:numPr>
              <w:spacing w:before="0" w:after="0" w:line="240" w:lineRule="auto"/>
              <w:ind w:left="360" w:hanging="360"/>
            </w:pPr>
            <w:r>
              <w:rPr>
                <w:rFonts w:ascii="Calibri" w:hAnsi="Calibri" w:cs="Calibri"/>
                <w:sz w:val="24"/>
                <w:szCs w:val="24"/>
                <w:b w:val="0"/>
              </w:rPr>
              <w:t>Exakt identische Perspektive wie zugrundeliegende Fotos</w:t>
            </w:r>
          </w:p>
          <w:p>
            <w:pPr>
              <w:pStyle w:val="ListParagraph"/>
              <w:numPr>
                <w:ilvl w:val="0"/>
                <w:numId w:val="1"/>
              </w:numPr>
              <w:spacing w:before="0" w:after="0" w:line="240" w:lineRule="auto"/>
              <w:ind w:left="360" w:hanging="360"/>
            </w:pPr>
            <w:r>
              <w:rPr>
                <w:rFonts w:ascii="Calibri" w:hAnsi="Calibri" w:cs="Calibri"/>
                <w:sz w:val="24"/>
                <w:szCs w:val="24"/>
                <w:b w:val="0"/>
              </w:rPr>
              <w:t>Inkl. 1 Revisionsrunde⁽¹⁾</w:t>
            </w:r>
          </w:p>
          <w:p>
            <w:pPr>
              <w:pStyle w:val="ListParagraph"/>
              <w:numPr>
                <w:ilvl w:val="0"/>
                <w:numId w:val="1"/>
              </w:numPr>
              <w:spacing w:before="0" w:after="0" w:line="240" w:lineRule="auto"/>
              <w:ind w:left="360" w:hanging="360"/>
            </w:pPr>
            <w:r>
              <w:rPr>
                <w:rFonts w:ascii="Calibri" w:hAnsi="Calibri" w:cs="Calibri"/>
                <w:sz w:val="24"/>
                <w:szCs w:val="24"/>
                <w:b w:val="0"/>
              </w:rPr>
              <w:t xml:space="preserve">Referenzen: </w:t>
            </w:r>
            <w:r>
              <w:fldChar w:fldCharType="begin"/>
            </w:r>
            <w:r>
              <w:instrText xml:space="preserve"> HYPERLINK "https://www.exposeprofi.de/digitales-home-staging#referenzen-virtuelle-renovierung" </w:instrText>
            </w:r>
            <w:r>
              <w:fldChar w:fldCharType="separate"/>
            </w:r>
            <w:r>
              <w:rPr>
                <w:rStyle w:val="Hyperlink"/>
                <w:rFonts w:ascii="Calibri" w:hAnsi="Calibri" w:cs="Calibri"/>
                <w:sz w:val="24"/>
                <w:szCs w:val="24"/>
                <w:b w:val="0"/>
              </w:rPr>
              <w:t>KLICK</w:t>
            </w:r>
            <w:r>
              <w:fldChar w:fldCharType="end"/>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139,00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499,00 €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349,00 €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399,00 €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289,00 €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269,00 €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259,00 €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6 Ansichten: Netto pro Ansicht: 249,00 €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7 Ansichten: Netto pro Ansicht: 239,00 €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8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9 Ansichten: Netto pro Ansicht: 219,00 €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≥10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30</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Projekt-Branding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5" w:type="dxa"/>
            <w:tcBorders>
              <w:top w:val="single" w:sz="4" w:space="0" w:color="000000"/>
              <w:left w:val="single" w:sz="4" w:space="0" w:color="000000"/>
              <w:bottom w:val="single" w:sz="4" w:space="0" w:color="000000"/>
              <w:right w:val="single" w:sz="4" w:space="0" w:color="000000"/>
            </w:tcBorders>
          </w:tcPr>
          <w:p>
            <w:pPr>
              <w:pStyle w:val="ListParagraph"/>
              <w:numPr>
                <w:ilvl w:val="0"/>
                <w:numId w:val="1"/>
              </w:numPr>
              <w:spacing w:before="0" w:after="0" w:line="240" w:lineRule="auto"/>
              <w:ind w:left="360" w:hanging="360"/>
            </w:pPr>
            <w:r>
              <w:rPr>
                <w:rFonts w:ascii="Calibri" w:hAnsi="Calibri" w:cs="Calibri"/>
                <w:sz w:val="24"/>
                <w:szCs w:val="24"/>
                <w:b w:val="0"/>
              </w:rPr>
              <w:t>Geliefert wird 30x Gesamtmarkenkonzept für das Bauvorhaben zur Schaffung einer unverwechselbaren Identität</w:t>
            </w:r>
          </w:p>
          <w:p>
            <w:pPr>
              <w:pStyle w:val="ListParagraph"/>
              <w:numPr>
                <w:ilvl w:val="0"/>
                <w:numId w:val="1"/>
              </w:numPr>
              <w:spacing w:before="0" w:after="0" w:line="240" w:lineRule="auto"/>
              <w:ind w:left="360" w:hanging="360"/>
            </w:pPr>
            <w:r>
              <w:rPr>
                <w:rFonts w:ascii="Calibri" w:hAnsi="Calibri" w:cs="Calibri"/>
                <w:sz w:val="24"/>
                <w:szCs w:val="24"/>
                <w:b w:val="0"/>
              </w:rPr>
              <w:t>Entwicklung eines durchgängigen visuellen Auftritts (Logo, Farbwelt, Typografie)</w:t>
            </w:r>
          </w:p>
          <w:p>
            <w:pPr>
              <w:pStyle w:val="ListParagraph"/>
              <w:numPr>
                <w:ilvl w:val="0"/>
                <w:numId w:val="1"/>
              </w:numPr>
              <w:spacing w:before="0" w:after="0" w:line="240" w:lineRule="auto"/>
              <w:ind w:left="360" w:hanging="360"/>
            </w:pPr>
            <w:r>
              <w:rPr>
                <w:rFonts w:ascii="Calibri" w:hAnsi="Calibri" w:cs="Calibri"/>
                <w:sz w:val="24"/>
                <w:szCs w:val="24"/>
                <w:b w:val="0"/>
              </w:rPr>
              <w:t>Abgestimmt auf Zielgruppe, Lage und Architektur des Projekts</w:t>
            </w:r>
          </w:p>
          <w:p>
            <w:pPr>
              <w:pStyle w:val="ListParagraph"/>
              <w:numPr>
                <w:ilvl w:val="0"/>
                <w:numId w:val="1"/>
              </w:numPr>
              <w:spacing w:before="0" w:after="0" w:line="240" w:lineRule="auto"/>
              <w:ind w:left="360" w:hanging="360"/>
            </w:pPr>
            <w:r>
              <w:rPr>
                <w:rFonts w:ascii="Calibri" w:hAnsi="Calibri" w:cs="Calibri"/>
                <w:sz w:val="24"/>
                <w:szCs w:val="24"/>
                <w:b w:val="0"/>
              </w:rPr>
              <w:t>Premium-Design mit Fokus auf Wertigkeit, Ästhetik und Markenwahrnehmung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0,00</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t xml:space="preserve">Preisstaffelung:</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499,00 €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349,00 €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149,00 €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 Ansicht Netto: 399,00 €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2 Ansichten: Netto pro Ansicht: 299,00 €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3 Ansichten: Netto pro Ansicht: 289,00 €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4 Ansichten: Netto pro Ansicht: 269,00 €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5 Ansichten: Netto pro Ansicht: 259,00 €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6 Ansichten: Netto pro Ansicht: 249,00 €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7 Ansichten: Netto pro Ansicht: 239,00 €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8 Ansichten: Netto pro Ansicht: 229,00 €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9 Ansichten: Netto pro Ansicht: 219,00 €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val="000000"/>
                <w:sz w:val="24"/>
                <w:szCs w:val="24"/>
              </w:rPr>
            </w:pPr>
            <w:r>
              <w:rPr>
                <w:color w:themeColor="text1" w:val="000000"/>
                <w:sz w:val="24"/>
                <w:szCs w:val="24"/>
              </w:rPr>
              <w:t xml:space="preserve">≥10 Ansichten: Netto pro Ansicht: 199,00 €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Calibri" w:hAnsi="Calibri" w:cs="Calibri" w:asciiTheme="minorHAnsi" w:cstheme="minorHAnsi" w:hAnsiTheme="minorHAnsi"/>
                <w:color w:val="000000"/>
                <w:sz w:val="24"/>
                <w:szCs w:val="24"/>
              </w:rPr>
            </w:pPr>
            <w:r>
              <w:rPr>
                <w:rFonts w:cs="Calibri" w:cstheme="minorHAnsi"/>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undefined€</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1.461,48€</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undefined€</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5"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1"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spacing w:lineRule="auto" w:line="240"/>
        <w:rPr>
          <w:color w:val="000000"/>
          <w:sz w:val="24"/>
          <w:szCs w:val="24"/>
        </w:rPr>
      </w:pPr>
      <w:r>
        <w:rPr>
          <w:color w:val="000000"/>
          <w:sz w:val="24"/>
          <w:szCs w:val="24"/>
        </w:rPr>
      </w:r>
    </w:p>
    <w:p>
      <w:pPr>
        <w:pStyle w:val="Normal"/>
        <w:spacing w:lineRule="auto" w:line="240"/>
        <w:rPr>
          <w:b/>
          <w:bCs/>
          <w:color w:val="000000"/>
          <w:sz w:val="24"/>
          <w:szCs w:val="24"/>
        </w:rPr>
      </w:pPr>
      <w:r>
        <w:rPr>
          <w:b/>
          <w:bCs/>
          <w:color w:themeColor="text1" w:val="000000"/>
          <w:sz w:val="24"/>
          <w:szCs w:val="24"/>
        </w:rPr>
        <w:t>Empfohlene Perspektiven Außen:</w:t>
      </w:r>
    </w:p>
    <w:p>
      <w:pPr>
        <w:pStyle w:val="Normal"/>
        <w:spacing w:lineRule="auto" w:line="240"/>
        <w:rPr>
          <w:color w:val="000000"/>
          <w:sz w:val="24"/>
          <w:szCs w:val="24"/>
        </w:rPr>
      </w:pPr>
      <w:r>
        <w:rPr>
          <w:color w:themeColor="text1" w:val="000000"/>
          <w:sz w:val="24"/>
          <w:szCs w:val="24"/>
        </w:rPr>
        <w:t xml:space="preserve">Dieses Angebot ist gültig bis </w:t>
      </w:r>
      <w:r>
        <w:rPr>
          <w:rFonts w:eastAsia="Calibri" w:cs="Calibri"/>
          <w:b w:val="false"/>
          <w:bCs w:val="false"/>
          <w:i w:val="false"/>
          <w:iCs w:val="false"/>
          <w:caps w:val="false"/>
          <w:smallCaps w:val="false"/>
          <w:color w:themeColor="text1" w:val="000000"/>
          <w:sz w:val="24"/>
          <w:szCs w:val="24"/>
          <w:lang w:val="de-DE"/>
        </w:rPr>
        <w:t xml:space="preserve">03.03.2026.undefined.26</w:t>
      </w:r>
      <w:r>
        <w:rPr>
          <w:color w:themeColor="text1" w:val="000000"/>
          <w:sz w:val="24"/>
          <w:szCs w:val="24"/>
        </w:rPr>
        <w:t xml:space="preserve">. </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w:r>
    </w:p>
    <w:p>
      <w:pPr>
        <w:pStyle w:val="Normal"/>
        <w:spacing w:lineRule="auto" w:line="240"/>
        <w:rPr>
          <w:sz w:val="24"/>
          <w:szCs w:val="24"/>
        </w:rPr>
      </w:pPr>
      <w:r>
        <w:rPr>
          <w:color w:themeColor="text1" w:val="000000"/>
          <w:sz w:val="24"/>
          <w:szCs w:val="24"/>
        </w:rPr>
        <w:t xml:space="preserve">Voraussichtl. Leistungsdatum: undefined</w:t>
      </w:r>
      <w:r>
        <w:rPr>
          <w:sz w:val="24"/>
          <w:szCs w:val="24"/>
        </w:rPr>
        <w:t xml:space="preserve">Arbeitstage </w:t>
      </w:r>
      <w:bookmarkStart w:id="0" w:name="_Hlk133315080"/>
      <w:r>
        <w:rPr>
          <w:b/>
          <w:bCs/>
          <w:sz w:val="24"/>
          <w:szCs w:val="24"/>
        </w:rPr>
        <w:t xml:space="preserve">nach Eingang der Anzahlung i.H.v. 50% des Bruttopreises (4.576,74EUR) </w:t>
      </w:r>
      <w:r>
        <w:rPr>
          <w:sz w:val="24"/>
          <w:szCs w:val="24"/>
        </w:rPr>
        <w:t xml:space="preserve">und</w:t>
      </w:r>
      <w:r>
        <w:rPr>
          <w:b/>
          <w:bCs/>
          <w:sz w:val="24"/>
          <w:szCs w:val="24"/>
        </w:rPr>
        <w:t xml:space="preserve"> </w:t>
      </w:r>
      <w:r>
        <w:rPr>
          <w:sz w:val="24"/>
          <w:szCs w:val="24"/>
        </w:rPr>
        <w:t xml:space="preserve">Erhalt aller Unterlagen und Informationen</w:t>
      </w:r>
      <w:bookmarkEnd w:id="0"/>
    </w:p>
    <w:p>
      <w:pPr>
        <w:pStyle w:val="Normal"/>
        <w:spacing w:lineRule="auto" w:line="240"/>
        <w:rPr>
          <w:color w:val="000000"/>
          <w:sz w:val="24"/>
          <w:szCs w:val="24"/>
        </w:rPr>
      </w:pPr>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val="000000"/>
          <w:sz w:val="20"/>
          <w:szCs w:val="20"/>
          <w:lang w:val="bg-BG"/>
        </w:rPr>
        <w:t xml:space="preserve">(1): Sollten Sie nach der </w:t>
      </w:r>
      <w:r>
        <w:rPr>
          <w:i/>
          <w:iCs/>
          <w:color w:val="000000"/>
          <w:sz w:val="20"/>
          <w:szCs w:val="20"/>
        </w:rPr>
        <w:t>gratis</w:t>
      </w:r>
      <w:r>
        <w:rPr>
          <w:i/>
          <w:iCs/>
          <w:color w:val="000000"/>
          <w:sz w:val="20"/>
          <w:szCs w:val="20"/>
          <w:lang w:val="bg-BG"/>
        </w:rPr>
        <w:t xml:space="preserve">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w:t>
      </w:r>
      <w:r>
        <w:rPr>
          <w:i/>
          <w:iCs/>
          <w:color w:val="000000"/>
          <w:sz w:val="20"/>
          <w:szCs w:val="20"/>
        </w:rPr>
        <w:t xml:space="preserve">, </w:t>
      </w:r>
      <w:r>
        <w:rPr>
          <w:i/>
          <w:iCs/>
          <w:color w:val="000000"/>
          <w:sz w:val="20"/>
          <w:szCs w:val="20"/>
          <w:lang w:val="bg-BG"/>
        </w:rPr>
        <w:t>und auch dann meist nur, wenn sich die Pläne nachträglich deutlich geändert haben.</w:t>
      </w:r>
    </w:p>
    <w:p>
      <w:pPr>
        <w:pStyle w:val="Normal"/>
        <w:spacing w:lineRule="auto" w:line="240"/>
        <w:rPr>
          <w:i/>
          <w:i/>
          <w:iCs/>
          <w:color w:val="000000"/>
          <w:sz w:val="20"/>
          <w:szCs w:val="20"/>
          <w:lang w:val="bg-BG"/>
        </w:rPr>
      </w:pPr>
      <w:r>
        <w:rPr>
          <w:i/>
          <w:iCs/>
          <w:color w:val="000000"/>
          <w:sz w:val="20"/>
          <w:szCs w:val="20"/>
          <w:lang w:val="bg-BG"/>
        </w:rPr>
        <w:t xml:space="preserve">Bitte beachten Sie: Bei Änderungen der Pläne (unabhängig davon, ob diese im Rahmen der </w:t>
      </w:r>
      <w:r>
        <w:rPr>
          <w:i/>
          <w:iCs/>
          <w:color w:val="000000"/>
          <w:sz w:val="20"/>
          <w:szCs w:val="20"/>
        </w:rPr>
        <w:t>gratis</w:t>
      </w:r>
      <w:r>
        <w:rPr>
          <w:i/>
          <w:iCs/>
          <w:color w:val="000000"/>
          <w:sz w:val="20"/>
          <w:szCs w:val="20"/>
          <w:lang w:val="bg-BG"/>
        </w:rPr>
        <w:t xml:space="preserve">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val="000000"/>
          <w:sz w:val="20"/>
          <w:szCs w:val="20"/>
        </w:rPr>
      </w:pPr>
      <w:r>
        <w:rPr>
          <w:i/>
          <w:iCs/>
          <w:color w:val="000000"/>
          <w:sz w:val="20"/>
          <w:szCs w:val="20"/>
        </w:rPr>
        <w:t>(2): Sollten Sie nach 12 Monaten die Tour immer noch benutzen möchten, können Sie gerne eine Verlängerung des Hostings um weitere 12 Monate optional für 50,00 € beauftragen.</w:t>
      </w:r>
    </w:p>
    <w:p>
      <w:pPr>
        <w:pStyle w:val="Normal"/>
        <w:spacing w:lineRule="auto" w:line="240"/>
        <w:rPr>
          <w:i/>
          <w:i/>
          <w:iCs/>
          <w:color w:val="000000"/>
          <w:sz w:val="20"/>
          <w:szCs w:val="20"/>
        </w:rPr>
      </w:pPr>
      <w:r>
        <w:rPr>
          <w:i/>
          <w:iCs/>
          <w:color w:val="000000"/>
          <w:sz w:val="20"/>
          <w:szCs w:val="20"/>
        </w:rPr>
        <w:t>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val="000000"/>
          <w:sz w:val="20"/>
          <w:szCs w:val="20"/>
        </w:rPr>
        <w:t>Nutzungsrecht: Die Nutzung der durch uns erstellten Visualisierungen ist erst nach Zahlung gestattet.</w:t>
      </w:r>
    </w:p>
    <w:p>
      <w:pPr>
        <w:pStyle w:val="Normal"/>
        <w:spacing w:lineRule="auto" w:line="240"/>
        <w:rPr>
          <w:i/>
          <w:i/>
          <w:iCs/>
          <w:color w:val="000000"/>
          <w:sz w:val="20"/>
          <w:szCs w:val="20"/>
        </w:rPr>
      </w:pPr>
      <w:r>
        <w:rPr>
          <w:i/>
          <w:iCs/>
          <w:color w:val="000000"/>
          <w:sz w:val="20"/>
          <w:szCs w:val="20"/>
        </w:rPr>
        <w:t>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rPr>
      </w:pPr>
      <w:bookmarkStart w:id="1" w:name="_Hlk174617329"/>
      <w:bookmarkEnd w:id="1"/>
      <w:r>
        <w:rPr>
          <w:i/>
          <w:iCs/>
          <w:color w:val="000000"/>
          <w:sz w:val="20"/>
          <w:szCs w:val="20"/>
          <w:lang w:val="bg-BG"/>
        </w:rPr>
        <w:t>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val="000000"/>
          <w:sz w:val="20"/>
          <w:szCs w:val="20"/>
          <w:lang w:val="bg-BG"/>
        </w:rPr>
        <w:t>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Noto Sans Symbol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Application>LibreOffice/24.2.7.2$Linux_X86_64 LibreOffice_project/420$Build-2</Application>
  <AppVersion>15.0000</AppVersion>
  <Pages>4</Pages>
  <Words>683</Words>
  <Characters>4886</Characters>
  <CharactersWithSpaces>5537</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2026-02-18T12:38:17Z</dcterms:modified>
  <cp:revision>87</cp:revision>
  <dc:subject/>
  <dc:title/>
</cp:coreProperties>
</file>

<file path=docProps/custom.xml><?xml version="1.0" encoding="utf-8"?>
<Properties xmlns="http://schemas.openxmlformats.org/officeDocument/2006/custom-properties" xmlns:vt="http://schemas.openxmlformats.org/officeDocument/2006/docPropsVTypes"/>
</file>