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right"/>
        <w:rPr>
          <w:color w:val="002060"/>
          <w:sz w:val="16"/>
          <w:szCs w:val="16"/>
        </w:rPr>
      </w:pPr>
      <w:r>
        <w:rPr/>
        <w:drawing>
          <wp:inline distT="0" distB="0" distL="0" distR="0">
            <wp:extent cx="2089785" cy="482600"/>
            <wp:effectExtent l="0" t="0" r="0" b="0"/>
            <wp:docPr id="1" name="Grafik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2" descr=""/>
                    <pic:cNvPicPr>
                      <a:picLocks noChangeAspect="1" noChangeArrowheads="1"/>
                    </pic:cNvPicPr>
                  </pic:nvPicPr>
                  <pic:blipFill>
                    <a:blip r:embed="rId2"/>
                    <a:stretch>
                      <a:fillRect/>
                    </a:stretch>
                  </pic:blipFill>
                  <pic:spPr bwMode="auto">
                    <a:xfrm>
                      <a:off x="0" y="0"/>
                      <a:ext cx="2089785" cy="482600"/>
                    </a:xfrm>
                    <a:prstGeom prst="rect">
                      <a:avLst/>
                    </a:prstGeom>
                  </pic:spPr>
                </pic:pic>
              </a:graphicData>
            </a:graphic>
          </wp:inline>
        </w:drawing>
      </w:r>
    </w:p>
    <w:p>
      <w:pPr>
        <w:pStyle w:val="Normal"/>
        <w:rPr>
          <w:color w:val="002060"/>
          <w:sz w:val="16"/>
          <w:szCs w:val="16"/>
        </w:rPr>
      </w:pPr>
      <w:r>
        <w:rPr>
          <w:color w:val="002060"/>
          <w:sz w:val="16"/>
          <w:szCs w:val="16"/>
        </w:rPr>
      </w:r>
    </w:p>
    <w:p>
      <w:pPr>
        <w:pStyle w:val="Normal"/>
        <w:rPr>
          <w:color w:val="002060"/>
          <w:sz w:val="16"/>
          <w:szCs w:val="16"/>
        </w:rPr>
      </w:pPr>
      <w:r>
        <w:rPr>
          <w:color w:val="002060"/>
          <w:sz w:val="16"/>
          <w:szCs w:val="16"/>
        </w:rPr>
        <w:t>ExposeProfi.de | EPCS GmbH | Bruder-Klaus-Straße 3a | 78467 Konstanz</w:t>
      </w:r>
    </w:p>
    <w:p>
      <w:pPr>
        <w:pStyle w:val="Normal"/>
        <w:spacing w:lineRule="auto" w:line="240"/>
        <w:rPr>
          <w:color w:val="000000"/>
          <w:sz w:val="24"/>
          <w:szCs w:val="24"/>
          <w:lang w:val="en-US"/>
        </w:rPr>
      </w:pPr>
      <w:r>
        <w:rPr>
          <w:b/>
          <w:bCs/>
          <w:color w:themeColor="text1" w:val="000000"/>
          <w:sz w:val="24"/>
          <w:szCs w:val="24"/>
          <w:lang w:val="en-US"/>
        </w:rPr>
        <w:t/>
      </w:r>
      <w:r>
        <w:rPr/>
        <w:br/>
      </w:r>
      <w:r>
        <w:rPr>
          <w:color w:themeColor="text1" w:val="000000"/>
          <w:sz w:val="24"/>
          <w:szCs w:val="24"/>
          <w:lang w:val="en-US"/>
        </w:rPr>
        <w:t/>
      </w:r>
      <w:r>
        <w:rPr/>
        <w:br/>
      </w:r>
      <w:r>
        <w:rPr>
          <w:color w:themeColor="text1" w:val="000000"/>
          <w:sz w:val="24"/>
          <w:szCs w:val="24"/>
          <w:lang w:val="en-US"/>
        </w:rPr>
        <w:t xml:space="preserve"> </w:t>
      </w:r>
      <w:r>
        <w:rPr/>
        <w:br/>
      </w:r>
      <w:r>
        <w:rPr>
          <w:color w:themeColor="text1" w:val="000000"/>
          <w:sz w:val="24"/>
          <w:szCs w:val="24"/>
          <w:lang w:val="en-US"/>
        </w:rPr>
        <w:t xml:space="preserve">Deutschland</w:t>
      </w:r>
    </w:p>
    <w:p>
      <w:pPr>
        <w:pStyle w:val="Normal"/>
        <w:spacing w:lineRule="auto" w:line="240"/>
        <w:jc w:val="right"/>
        <w:rPr>
          <w:color w:val="000000"/>
          <w:sz w:val="24"/>
          <w:szCs w:val="24"/>
        </w:rPr>
      </w:pPr>
      <w:r>
        <w:rPr>
          <w:color w:themeColor="text1" w:val="000000"/>
          <w:sz w:val="24"/>
          <w:szCs w:val="24"/>
        </w:rPr>
        <w:t xml:space="preserve">31.03.2026</w:t>
      </w:r>
    </w:p>
    <w:p>
      <w:pPr>
        <w:pStyle w:val="Normal"/>
        <w:spacing w:lineRule="auto" w:line="240"/>
        <w:rPr>
          <w:b/>
          <w:color w:val="000000"/>
          <w:sz w:val="14"/>
          <w:szCs w:val="14"/>
        </w:rPr>
      </w:pPr>
      <w:r>
        <w:rPr>
          <w:b/>
          <w:color w:val="000000"/>
          <w:sz w:val="14"/>
          <w:szCs w:val="14"/>
        </w:rPr>
      </w:r>
    </w:p>
    <w:p>
      <w:pPr>
        <w:pStyle w:val="Normal"/>
        <w:spacing w:lineRule="auto" w:line="240"/>
        <w:rPr>
          <w:b/>
          <w:bCs/>
          <w:sz w:val="32"/>
          <w:szCs w:val="32"/>
        </w:rPr>
      </w:pPr>
      <w:r>
        <w:rPr>
          <w:b/>
          <w:bCs/>
          <w:color w:themeColor="text1" w:val="000000"/>
          <w:sz w:val="32"/>
          <w:szCs w:val="32"/>
        </w:rPr>
        <w:t xml:space="preserve">Angebot Nr.2026-03-31-30</w:t>
      </w:r>
    </w:p>
    <w:p>
      <w:pPr>
        <w:pStyle w:val="Normal"/>
        <w:spacing w:lineRule="auto" w:line="240"/>
        <w:rPr>
          <w:color w:val="000000"/>
          <w:sz w:val="24"/>
          <w:szCs w:val="24"/>
        </w:rPr>
      </w:pPr>
      <w:r>
        <w:rPr>
          <w:color w:val="000000"/>
          <w:sz w:val="24"/>
          <w:szCs w:val="24"/>
        </w:rPr>
        <w:t xml:space="preserve">Vielen Dank für Ihre Anfrage und Ihr damit verbundenes Interesse an einer Zusammenarbeit. </w:t>
      </w:r>
    </w:p>
    <w:p>
      <w:pPr>
        <w:pStyle w:val="paragraph"/>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Die Vorteile zusammengefasst, die Sie erwarten können:</w:t>
      </w:r>
      <w:r>
        <w:rPr>
          <w:rStyle w:val="eop"/>
          <w:rFonts w:cs="Calibri" w:ascii="Calibri" w:hAnsi="Calibri"/>
          <w:lang w:val="de-DE"/>
        </w:rPr>
        <w:t> </w:t>
      </w:r>
    </w:p>
    <w:p>
      <w:pPr>
        <w:pStyle w:val="paragraph"/>
        <w:spacing w:beforeAutospacing="0" w:before="0" w:afterAutospacing="0" w:after="0"/>
        <w:rPr>
          <w:rStyle w:val="eop"/>
          <w:rFonts w:ascii="Calibri" w:hAnsi="Calibri" w:cs="Calibri"/>
          <w:lang w:val="de-DE"/>
        </w:rPr>
      </w:pPr>
      <w:r>
        <w:rPr>
          <w:rFonts w:cs="Calibri" w:ascii="Calibri" w:hAnsi="Calibri"/>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Fotorealismus:</w:t>
      </w:r>
      <w:r>
        <w:rPr>
          <w:rStyle w:val="normaltextrun"/>
          <w:rFonts w:cs="Calibri" w:ascii="Calibri" w:hAnsi="Calibri"/>
          <w:lang w:val="de-DE"/>
        </w:rPr>
        <w:t xml:space="preserve"> Wir erstellen ausschließlich emotionale 3D-Visualisierungen der höchsten Qualitätsstufe.</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Persönliche &amp; individuelle Betreuung: </w:t>
      </w:r>
      <w:r>
        <w:rPr>
          <w:rStyle w:val="normaltextrun"/>
          <w:rFonts w:cs="Calibri" w:ascii="Calibri" w:hAnsi="Calibri"/>
          <w:lang w:val="de-DE"/>
        </w:rPr>
        <w:t>Sie erhalten bei jedem Projekt die Unterstützung von einem persönlichen Ansprechpartner, der die Visualisierungen individuell für Sie erstellt und immer per Telefon oder Email erreichbar ist.</w:t>
      </w:r>
      <w:r>
        <w:rPr>
          <w:rStyle w:val="eop"/>
          <w:rFonts w:cs="Calibri" w:ascii="Calibri" w:hAnsi="Calibri"/>
          <w:lang w:val="de-DE"/>
        </w:rPr>
        <w:t> </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Fonts w:ascii="Calibri" w:hAnsi="Calibri" w:cs="Calibri"/>
          <w:lang w:val="de-DE"/>
        </w:rPr>
      </w:pPr>
      <w:r>
        <w:rPr>
          <w:rStyle w:val="normaltextrun"/>
          <w:rFonts w:cs="Calibri" w:ascii="Calibri" w:hAnsi="Calibri"/>
          <w:b/>
          <w:bCs/>
          <w:lang w:val="de-DE"/>
        </w:rPr>
        <w:t xml:space="preserve">Effiziente Prozesse &amp; Schnelle Lieferzeit: </w:t>
      </w:r>
      <w:r>
        <w:rPr>
          <w:rStyle w:val="normaltextrun"/>
          <w:rFonts w:cs="Calibri" w:ascii="Calibri" w:hAnsi="Calibri"/>
          <w:lang w:val="de-DE"/>
        </w:rPr>
        <w:t>Wie Sie sehen, melden wir uns innerhalb von 24h mit einem Angebot bei Ihnen. Ihr Projekt verläuft ab Start ebenso reibungslos und Sie erhalten die Visualisierungen schnellstmöglich.</w:t>
      </w:r>
      <w:r>
        <w:rPr>
          <w:rStyle w:val="eop"/>
          <w:rFonts w:cs="Calibri" w:ascii="Calibri" w:hAnsi="Calibri"/>
          <w:lang w:val="de-DE"/>
        </w:rPr>
        <w:t> Gänzlich ohne Kopfschmerzen.</w:t>
      </w:r>
    </w:p>
    <w:p>
      <w:pPr>
        <w:pStyle w:val="paragraph"/>
        <w:spacing w:beforeAutospacing="0" w:before="0" w:afterAutospacing="0" w:after="0"/>
        <w:rPr>
          <w:lang w:val="de-DE"/>
        </w:rPr>
      </w:pPr>
      <w:r>
        <w:rPr>
          <w:lang w:val="de-DE"/>
        </w:rPr>
      </w:r>
    </w:p>
    <w:p>
      <w:pPr>
        <w:pStyle w:val="paragraph"/>
        <w:numPr>
          <w:ilvl w:val="0"/>
          <w:numId w:val="1"/>
        </w:numPr>
        <w:spacing w:beforeAutospacing="0" w:before="0" w:afterAutospacing="0" w:after="0"/>
        <w:textAlignment w:val="baseline"/>
        <w:rPr>
          <w:rStyle w:val="eop"/>
          <w:lang w:val="de-DE"/>
        </w:rPr>
      </w:pPr>
      <w:r>
        <w:rPr>
          <w:rStyle w:val="normaltextrun"/>
          <w:rFonts w:cs="Calibri" w:ascii="Calibri" w:hAnsi="Calibri"/>
          <w:b/>
          <w:bCs/>
          <w:lang w:val="de-DE"/>
        </w:rPr>
        <w:t>Korrekturschleifen</w:t>
      </w:r>
      <w:r>
        <w:rPr>
          <w:rStyle w:val="normaltextrun"/>
          <w:rFonts w:cs="Calibri" w:ascii="Calibri" w:hAnsi="Calibri"/>
          <w:lang w:val="de-DE"/>
        </w:rPr>
        <w:t>: Bei 50% unserer Projekte benötigen unsere Kunden keine einzige Korrekturschleife, da wir von vornerein Ihre Wünsche perfekt umsetzen. Falls Sie dennoch Änderungswünsche haben sollten, bieten wir Ihnen ein eigenes Tool, bei dem Sie bequem innerhalb der Visualisierungen an die entsprechenden Stellen klicken und kommentieren können, was Sie geändert haben möchten. Hieraus ergibt sich für Sie eine Zeitersparnis verglichen mit Änderungswünschen per Email oder Telefon. Zudem gibt es durch unser Tool keine Missverständnisse bei der Umsetzung, wodurch Sie die finalen Visualisierungen noch schneller erhalten und das Projekt ganz reibungslos und stressfrei verläuft.</w:t>
      </w:r>
      <w:r>
        <w:rPr>
          <w:rStyle w:val="eop"/>
          <w:rFonts w:cs="Calibri" w:ascii="Calibri" w:hAnsi="Calibri"/>
          <w:lang w:val="de-DE"/>
        </w:rPr>
        <w:t> </w:t>
      </w:r>
    </w:p>
    <w:p>
      <w:pPr>
        <w:pStyle w:val="paragraph"/>
        <w:spacing w:beforeAutospacing="0" w:before="0" w:afterAutospacing="0" w:after="0"/>
        <w:textAlignment w:val="baseline"/>
        <w:rPr>
          <w:lang w:val="de-DE"/>
        </w:rPr>
      </w:pPr>
      <w:r>
        <w:rPr>
          <w:lang w:val="de-DE"/>
        </w:rPr>
      </w:r>
    </w:p>
    <w:p>
      <w:pPr>
        <w:pStyle w:val="paragraph"/>
        <w:numPr>
          <w:ilvl w:val="0"/>
          <w:numId w:val="1"/>
        </w:numPr>
        <w:spacing w:beforeAutospacing="0" w:before="0" w:afterAutospacing="0" w:after="0"/>
        <w:textAlignment w:val="baseline"/>
        <w:rPr>
          <w:rStyle w:val="normaltextrun"/>
          <w:rFonts w:ascii="Calibri" w:hAnsi="Calibri" w:cs="Calibri"/>
          <w:lang w:val="de-DE"/>
        </w:rPr>
      </w:pPr>
      <w:r>
        <w:rPr>
          <w:rStyle w:val="normaltextrun"/>
          <w:rFonts w:cs="Calibri" w:ascii="Calibri" w:hAnsi="Calibri"/>
          <w:b/>
          <w:bCs/>
          <w:lang w:val="de-DE"/>
        </w:rPr>
        <w:t xml:space="preserve">Preiswert: </w:t>
      </w:r>
      <w:r>
        <w:rPr>
          <w:rStyle w:val="normaltextrun"/>
          <w:rFonts w:cs="Calibri" w:ascii="Calibri" w:hAnsi="Calibri"/>
          <w:lang w:val="de-DE"/>
        </w:rPr>
        <w:t xml:space="preserve">Aufgrund unserer effizienten Prozesse bieten wir günstigere Preise als andere Anbieter mit vergleichbar hoher Qualität und zudem eine bessere Betreuung. </w:t>
      </w:r>
    </w:p>
    <w:p>
      <w:pPr>
        <w:pStyle w:val="paragraph"/>
        <w:spacing w:beforeAutospacing="0" w:before="0" w:afterAutospacing="0" w:after="0"/>
        <w:textAlignment w:val="baseline"/>
        <w:rPr>
          <w:rStyle w:val="normaltextrun"/>
          <w:rFonts w:ascii="Calibri" w:hAnsi="Calibri" w:cs="Calibri"/>
          <w:lang w:val="de-DE"/>
        </w:rPr>
      </w:pPr>
      <w:r>
        <w:rPr>
          <w:rFonts w:cs="Calibri" w:ascii="Calibri" w:hAnsi="Calibri"/>
          <w:lang w:val="de-DE"/>
        </w:rPr>
      </w:r>
    </w:p>
    <w:p>
      <w:pPr>
        <w:pStyle w:val="ListParagraph"/>
        <w:rPr>
          <w:rStyle w:val="eop"/>
        </w:rPr>
      </w:pPr>
      <w:r>
        <w:rPr/>
      </w:r>
    </w:p>
    <w:p>
      <w:pPr>
        <w:pStyle w:val="Normal"/>
        <w:spacing w:lineRule="auto" w:line="240"/>
        <w:rPr>
          <w:color w:val="000000"/>
          <w:sz w:val="24"/>
          <w:szCs w:val="24"/>
        </w:rPr>
      </w:pPr>
      <w:r>
        <w:rPr>
          <w:color w:val="000000"/>
          <w:sz w:val="24"/>
          <w:szCs w:val="24"/>
        </w:rPr>
        <w:t>Basierend auf den zugesandten Unterlagen unterbreiten wir Ihnen folgendes Angebot:</w:t>
      </w:r>
    </w:p>
    <w:tbl>
      <w:tblPr>
        <w:tblW w:w="9072" w:type="dxa"/>
        <w:jc w:val="left"/>
        <w:tblInd w:w="-5" w:type="dxa"/>
        <w:tblLayout w:type="fixed"/>
        <w:tblCellMar>
          <w:top w:w="0" w:type="dxa"/>
          <w:left w:w="108" w:type="dxa"/>
          <w:bottom w:w="0" w:type="dxa"/>
          <w:right w:w="108" w:type="dxa"/>
        </w:tblCellMar>
        <w:tblLook w:val="0400" w:noHBand="0" w:noVBand="1" w:firstColumn="0" w:lastRow="0" w:lastColumn="0" w:firstRow="0"/>
      </w:tblPr>
      <w:tblGrid>
        <w:gridCol w:w="993"/>
        <w:gridCol w:w="1842"/>
        <w:gridCol w:w="4966"/>
        <w:gridCol w:w="1270"/>
      </w:tblGrid>
      <w:tr>
        <w:trPr>
          <w:trHeight w:val="660" w:hRule="atLeast"/>
        </w:trPr>
        <w:tc>
          <w:tcPr>
            <w:tcW w:w="993"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Anzahl</w:t>
            </w:r>
          </w:p>
        </w:tc>
        <w:tc>
          <w:tcPr>
            <w:tcW w:w="1842"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Bezeichnung</w:t>
            </w:r>
          </w:p>
        </w:tc>
        <w:tc>
          <w:tcPr>
            <w:tcW w:w="4966"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jc w:val="center"/>
              <w:rPr>
                <w:color w:val="000000"/>
                <w:sz w:val="24"/>
                <w:szCs w:val="24"/>
              </w:rPr>
            </w:pPr>
            <w:r>
              <w:rPr>
                <w:color w:val="000000"/>
                <w:sz w:val="24"/>
                <w:szCs w:val="24"/>
              </w:rPr>
              <w:t>Beschreibung</w:t>
            </w:r>
          </w:p>
        </w:tc>
        <w:tc>
          <w:tcPr>
            <w:tcW w:w="1270" w:type="dxa"/>
            <w:tcBorders>
              <w:top w:val="single" w:sz="4" w:space="0" w:color="000000"/>
              <w:left w:val="single" w:sz="4" w:space="0" w:color="000000"/>
              <w:bottom w:val="single" w:sz="4" w:space="0" w:color="000000"/>
              <w:right w:val="single" w:sz="4" w:space="0" w:color="000000"/>
            </w:tcBorders>
            <w:vAlign w:val="center"/>
          </w:tcPr>
          <w:p>
            <w:pPr>
              <w:pStyle w:val="Normal"/>
              <w:spacing w:before="0" w:after="0"/>
              <w:ind w:right="-108"/>
              <w:jc w:val="center"/>
              <w:rPr>
                <w:color w:val="000000"/>
                <w:sz w:val="24"/>
                <w:szCs w:val="24"/>
              </w:rPr>
            </w:pPr>
            <w:r>
              <w:rPr>
                <w:color w:val="000000"/>
                <w:sz w:val="24"/>
                <w:szCs w:val="24"/>
              </w:rPr>
              <w:t>Stückpreis</w:t>
            </w:r>
          </w:p>
          <w:p>
            <w:pPr>
              <w:pStyle w:val="Normal"/>
              <w:spacing w:before="0" w:after="0"/>
              <w:ind w:right="-108"/>
              <w:jc w:val="center"/>
              <w:rPr>
                <w:color w:val="000000"/>
                <w:sz w:val="24"/>
                <w:szCs w:val="24"/>
              </w:rPr>
            </w:pPr>
            <w:r>
              <w:rPr>
                <w:color w:val="000000"/>
                <w:sz w:val="24"/>
                <w:szCs w:val="24"/>
              </w:rPr>
              <w:t>netto</w:t>
            </w:r>
          </w:p>
        </w:tc>
      </w:tr>
      <w:tr>
        <w:trPr>
          <w:trHeight w:val="1275" w:hRule="atLeast"/>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t/>
            </w:r>
            <w:r>
              <w:rPr>
                <w:rFonts w:eastAsia="Calibri" w:cs="Calibri"/>
                <w:b/>
                <w:bCs/>
                <w:i w:val="false"/>
                <w:iCs w:val="false"/>
                <w:caps w:val="false"/>
                <w:smallCaps w:val="false"/>
                <w:color w:themeColor="text1" w:val="000000"/>
                <w:sz w:val="24"/>
                <w:szCs w:val="24"/>
                <w:lang w:val="de-DE"/>
              </w:rPr>
              <w:t/>
            </w:r>
            <w:r>
              <w:rPr>
                <w:b/>
                <w:bCs/>
                <w:color w:themeColor="text1" w:val="000000"/>
                <w:sz w:val="24"/>
                <w:szCs w:val="24"/>
              </w:rPr>
              <w:t xml:space="preserve">545</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t xml:space="preserve">3D-Innenvisualisierung</w:t>
            </w:r>
          </w:p>
          <w:p>
            <w:pPr>
              <w:pStyle w:val="Normal"/>
              <w:spacing w:before="0" w:after="0"/>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t/>
            </w:r>
          </w:p>
        </w:tc>
        <w:tc>
          <w:tcPr>
            <w:tcW w:w="4966" w:type="dxa"/>
            <w:tcBorders>
              <w:top w:val="single" w:sz="4" w:space="0" w:color="000000"/>
              <w:left w:val="single" w:sz="4" w:space="0" w:color="000000"/>
              <w:bottom w:val="single" w:sz="4" w:space="0" w:color="000000"/>
              <w:right w:val="single" w:sz="4" w:space="0" w:color="000000"/>
            </w:tcBorders>
          </w:tcPr>
          <w:p>
            <w:pPr>
              <w:pStyle w:val="ListParagraph"/>
              <w:numPr>
                <w:ilvl w:val="0"/>
                <w:numId w:val="3"/>
              </w:numPr>
              <w:spacing w:before="0" w:after="0" w:line="240" w:lineRule="auto"/>
            </w:pPr>
            <w:r>
              <w:rPr>
                <w:rFonts w:ascii="Calibri" w:hAnsi="Calibri" w:cs="Calibri"/>
                <w:sz w:val="24"/>
                <w:szCs w:val="24"/>
                <w:b w:val="0"/>
              </w:rPr>
              <w:t>Geliefert werden 3x gerenderte Innenansichten der Räume:</w:t>
            </w:r>
          </w:p>
          <w:p>
            <w:pPr>
              <w:pStyle w:val="ListParagraph"/>
              <w:numPr>
                <w:ilvl w:val="0"/>
                <w:numId w:val="3"/>
              </w:numPr>
              <w:spacing w:before="0" w:after="0" w:line="240" w:lineRule="auto"/>
            </w:pPr>
            <w:r>
              <w:rPr>
                <w:rFonts w:ascii="Calibri" w:hAnsi="Calibri" w:cs="Calibri"/>
                <w:sz w:val="24"/>
                <w:szCs w:val="24"/>
                <w:b w:val="0"/>
              </w:rPr>
              <w:t>Fotorealistische Qualität</w:t>
            </w:r>
          </w:p>
          <w:p>
            <w:pPr>
              <w:pStyle w:val="ListParagraph"/>
              <w:numPr>
                <w:ilvl w:val="0"/>
                <w:numId w:val="3"/>
              </w:numPr>
              <w:spacing w:before="0" w:after="0" w:line="240" w:lineRule="auto"/>
            </w:pPr>
            <w:r>
              <w:rPr>
                <w:rFonts w:ascii="Calibri" w:hAnsi="Calibri" w:cs="Calibri"/>
                <w:sz w:val="24"/>
                <w:szCs w:val="24"/>
                <w:b w:val="0"/>
              </w:rPr>
              <w:t>Eingerichtet individuell nach Ihren Wünschen (allerdings keine individuelle Modellierung konkreter Möbelstücke inkludiert)</w:t>
            </w:r>
          </w:p>
          <w:p>
            <w:pPr>
              <w:pStyle w:val="ListParagraph"/>
              <w:numPr>
                <w:ilvl w:val="0"/>
                <w:numId w:val="3"/>
              </w:numPr>
              <w:spacing w:before="0" w:after="0" w:line="240" w:lineRule="auto"/>
            </w:pPr>
            <w:r>
              <w:rPr>
                <w:rFonts w:ascii="Calibri" w:hAnsi="Calibri" w:cs="Calibri"/>
                <w:sz w:val="24"/>
                <w:szCs w:val="24"/>
                <w:b w:val="0"/>
              </w:rPr>
              <w:t>Falls Türen zwischen einzelnen Räumen zu sehen sind, werden diese als geschlossen dargestellt</w:t>
            </w:r>
          </w:p>
          <w:p>
            <w:pPr>
              <w:pStyle w:val="ListParagraph"/>
              <w:numPr>
                <w:ilvl w:val="0"/>
                <w:numId w:val="3"/>
              </w:numPr>
              <w:spacing w:before="0" w:after="0" w:line="240" w:lineRule="auto"/>
            </w:pPr>
            <w:r>
              <w:rPr>
                <w:rFonts w:ascii="Calibri" w:hAnsi="Calibri" w:cs="Calibri"/>
                <w:sz w:val="24"/>
                <w:szCs w:val="24"/>
                <w:b w:val="0"/>
              </w:rPr>
              <w:t>Inkl. 1 Revisionsrunde⁽¹⁾</w:t>
            </w:r>
          </w:p>
          <w:p>
            <w:pPr>
              <w:pStyle w:val="ListParagraph"/>
              <w:numPr>
                <w:ilvl w:val="0"/>
                <w:numId w:val="3"/>
              </w:numPr>
              <w:spacing w:before="0" w:after="0" w:line="240" w:lineRule="auto"/>
            </w:pPr>
            <w:r>
              <w:rPr>
                <w:rFonts w:ascii="Calibri" w:hAnsi="Calibri" w:cs="Calibri"/>
                <w:sz w:val="24"/>
                <w:szCs w:val="24"/>
                <w:b w:val="0"/>
              </w:rPr>
              <w:t>Format: 2.500 x 1.500 px (300 DPI)</w:t>
            </w:r>
          </w:p>
          <w:p>
            <w:pPr>
              <w:pStyle w:val="ListParagraph"/>
              <w:numPr>
                <w:ilvl w:val="0"/>
                <w:numId w:val="3"/>
              </w:numPr>
              <w:spacing w:before="0" w:after="0" w:line="240" w:lineRule="auto"/>
            </w:pPr>
            <w:r>
              <w:rPr>
                <w:rFonts w:ascii="Calibri" w:hAnsi="Calibri" w:cs="Calibri"/>
                <w:sz w:val="24"/>
                <w:szCs w:val="24"/>
                <w:b w:val="0"/>
              </w:rPr>
              <w:t xml:space="preserve">Referenzen: </w:t>
            </w:r>
            <w:r>
              <w:fldChar w:fldCharType="begin"/>
            </w:r>
            <w:r>
              <w:instrText xml:space="preserve"> HYPERLINK "https://www.exposeprofi.de/3d-visualisierungen/innenvisualisierungen" </w:instrText>
            </w:r>
            <w:r>
              <w:fldChar w:fldCharType="separate"/>
            </w:r>
            <w:r>
              <w:rPr>
                <w:rStyle w:val="Hyperlink"/>
                <w:rFonts w:ascii="Calibri" w:hAnsi="Calibri" w:cs="Calibri"/>
                <w:sz w:val="24"/>
                <w:szCs w:val="24"/>
                <w:b w:val="0"/>
              </w:rPr>
              <w:t>KLICK</w:t>
            </w:r>
            <w:r>
              <w:fldChar w:fldCharType="end"/>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b/>
                <w:bCs/>
                <w:color w:themeColor="text1" w:val="000000"/>
                <w:sz w:val="24"/>
                <w:szCs w:val="24"/>
              </w:rPr>
            </w:pPr>
            <w:r>
              <w:rPr>
                <w:b/>
                <w:bCs/>
                <w:color w:themeColor="text1" w:val="000000"/>
                <w:sz w:val="24"/>
                <w:szCs w:val="24"/>
              </w:rPr>
              <w:t xml:space="preserve">619.549,00 €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Preisstaffelung:</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1 Ansicht Netto: 399,00 €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2 Ansichten: Netto pro Ansicht: 299,00 €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3 Ansichten: Netto pro Ansicht: 289,00 €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4 Ansichten: Netto pro Ansicht: 269,00 €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5 Ansichten: Netto pro Ansicht: 259,00 €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6 Ansichten: Netto pro Ansicht: 249,00 €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7 Ansichten: Netto pro Ansicht: 239,00 €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8 Ansichten: Netto pro Ansicht: 229,00 €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9 Ansichten: Netto pro Ansicht: 219,00 €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color w:themeColor="text1" w:val="000000"/>
                <w:sz w:val="24"/>
                <w:szCs w:val="24"/>
              </w:rPr>
              <w:t/>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t xml:space="preserve">≥10 Ansichten: Netto pro Ansicht: 199,00 €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color w:themeColor="text1" w:val="000000"/>
                <w:sz w:val="24"/>
                <w:szCs w:val="24"/>
              </w:rPr>
              <w:t/>
            </w:r>
            <w:r>
              <w:rPr>
                <w:b/>
                <w:bCs/>
                <w:color w:themeColor="text1" w:val="000000"/>
                <w:sz w:val="24"/>
                <w:szCs w:val="24"/>
              </w:rPr>
              <w:t xml:space="preserve"> </w:t>
            </w:r>
          </w:p>
        </w:tc>
      </w:tr>
      <w:tr>
        <w:trPr/>
        <w:tc>
          <w:tcPr>
            <w:tcW w:w="993" w:type="dxa"/>
            <w:tcBorders>
              <w:left w:val="single" w:sz="4" w:space="0" w:color="000000"/>
              <w:bottom w:val="single" w:sz="4" w:space="0" w:color="000000"/>
              <w:right w:val="single" w:sz="4" w:space="0" w:color="000000"/>
            </w:tcBorders>
          </w:tcPr>
          <w:p>
            <w:pPr>
              <w:pStyle w:val="Normal"/>
              <w:spacing w:before="0" w:after="0"/>
              <w:jc w:val="both"/>
              <w:rPr>
                <w:rFonts w:ascii="Calibri" w:hAnsi="Calibri" w:cs="Calibri" w:asciiTheme="minorAscii" w:cstheme="minorAscii" w:hAnsiTheme="minorAscii"/>
                <w:color w:themeColor="text1" w:val="000000"/>
                <w:sz w:val="24"/>
                <w:szCs w:val="24"/>
              </w:rPr>
            </w:pPr>
            <w:r>
              <w:rPr>
                <w:rFonts w:cs="Calibri" w:cstheme="minorAscii"/>
                <w:color w:themeColor="text1"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0"/>
              <w:rPr>
                <w:b/>
                <w:bCs/>
                <w:color w:themeColor="text1" w:val="000000"/>
                <w:sz w:val="24"/>
                <w:szCs w:val="24"/>
              </w:rPr>
            </w:pPr>
            <w:r>
              <w:rPr>
                <w:b/>
                <w:bCs/>
                <w:color w:themeColor="text1"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0"/>
              <w:jc w:val="both"/>
              <w:rPr>
                <w:color w:themeColor="text1" w:val="000000"/>
                <w:sz w:val="24"/>
                <w:szCs w:val="24"/>
              </w:rPr>
            </w:pPr>
            <w:r>
              <w:rPr>
                <w:color w:themeColor="text1" w:val="000000"/>
                <w:sz w:val="24"/>
                <w:szCs w:val="24"/>
              </w:rPr>
            </w:r>
          </w:p>
        </w:tc>
        <w:tc>
          <w:tcPr>
            <w:tcW w:w="1270" w:type="dxa"/>
            <w:tcBorders>
              <w:left w:val="single" w:sz="4" w:space="0" w:color="000000"/>
              <w:bottom w:val="single" w:sz="4" w:space="0" w:color="000000"/>
              <w:right w:val="single" w:sz="4" w:space="0" w:color="000000"/>
            </w:tcBorders>
          </w:tcPr>
          <w:p>
            <w:pPr>
              <w:pStyle w:val="Normal"/>
              <w:spacing w:before="0" w:after="0"/>
              <w:jc w:val="center"/>
              <w:rPr>
                <w:b/>
                <w:bCs/>
                <w:color w:themeColor="text1" w:val="000000"/>
                <w:sz w:val="24"/>
                <w:szCs w:val="24"/>
              </w:rPr>
            </w:pPr>
            <w:r>
              <w:rPr>
                <w:b/>
                <w:bCs/>
                <w:color w:themeColor="text1" w:val="000000"/>
                <w:sz w:val="24"/>
                <w:szCs w:val="24"/>
              </w:rPr>
            </w:r>
          </w:p>
        </w:tc>
      </w:tr>
      <w:tr>
        <w:trPr/>
        <w:tc>
          <w:tcPr>
            <w:tcW w:w="993"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left w:val="single" w:sz="4" w:space="0" w:color="000000"/>
              <w:bottom w:val="single" w:sz="4" w:space="0" w:color="000000"/>
              <w:right w:val="single" w:sz="4" w:space="0" w:color="000000"/>
            </w:tcBorders>
          </w:tcPr>
          <w:p>
            <w:pPr>
              <w:pStyle w:val="Normal"/>
              <w:spacing w:before="0" w:after="0"/>
              <w:rPr>
                <w:b/>
                <w:bCs/>
                <w:color w:val="000000"/>
                <w:sz w:val="24"/>
                <w:szCs w:val="24"/>
              </w:rPr>
            </w:pPr>
            <w:r>
              <w:rPr>
                <w:b/>
                <w:bCs/>
                <w:color w:val="000000"/>
                <w:sz w:val="24"/>
                <w:szCs w:val="24"/>
              </w:rPr>
              <w:t>Gesamtpreis Netto</w:t>
            </w:r>
          </w:p>
        </w:tc>
        <w:tc>
          <w:tcPr>
            <w:tcW w:w="1270" w:type="dxa"/>
            <w:tcBorders>
              <w:left w:val="single" w:sz="4" w:space="0" w:color="000000"/>
              <w:bottom w:val="single" w:sz="4" w:space="0" w:color="000000"/>
              <w:right w:val="single" w:sz="4" w:space="0" w:color="000000"/>
            </w:tcBorders>
          </w:tcPr>
          <w:p>
            <w:pPr>
              <w:pStyle w:val="Normal"/>
              <w:spacing w:before="0" w:after="0"/>
              <w:jc w:val="right"/>
              <w:rPr>
                <w:b/>
                <w:bCs/>
                <w:color w:val="000000"/>
                <w:sz w:val="24"/>
                <w:szCs w:val="24"/>
              </w:rPr>
            </w:pPr>
            <w:r>
              <w:rPr>
                <w:b/>
                <w:bCs/>
                <w:color w:themeColor="text1" w:val="000000"/>
                <w:sz w:val="24"/>
                <w:szCs w:val="24"/>
              </w:rPr>
              <w:t xml:space="preserve">337.654.205,00 €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MwSt. (19 %)</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64.154.298,95 €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t>Gesamtpreis Brutto</w:t>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themeColor="text1" w:val="000000"/>
                <w:sz w:val="24"/>
                <w:szCs w:val="24"/>
              </w:rPr>
              <w:t xml:space="preserve"> </w:t>
            </w:r>
            <w:r>
              <w:rPr>
                <w:color w:themeColor="text1" w:val="000000"/>
                <w:sz w:val="24"/>
                <w:szCs w:val="24"/>
              </w:rPr>
              <w:t xml:space="preserve">401.808.503,95 €</w:t>
            </w:r>
          </w:p>
        </w:tc>
      </w:tr>
      <w:tr>
        <w:trPr/>
        <w:tc>
          <w:tcPr>
            <w:tcW w:w="993"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842"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4966" w:type="dxa"/>
            <w:tcBorders>
              <w:top w:val="single" w:sz="4" w:space="0" w:color="000000"/>
              <w:left w:val="single" w:sz="4" w:space="0" w:color="000000"/>
              <w:bottom w:val="single" w:sz="4" w:space="0" w:color="000000"/>
              <w:right w:val="single" w:sz="4" w:space="0" w:color="000000"/>
            </w:tcBorders>
          </w:tcPr>
          <w:p>
            <w:pPr>
              <w:pStyle w:val="Normal"/>
              <w:spacing w:before="0" w:after="0"/>
              <w:rPr>
                <w:color w:val="000000"/>
                <w:sz w:val="24"/>
                <w:szCs w:val="24"/>
              </w:rPr>
            </w:pPr>
            <w:r>
              <w:rPr>
                <w:color w:val="000000"/>
                <w:sz w:val="24"/>
                <w:szCs w:val="24"/>
              </w:rPr>
            </w:r>
          </w:p>
        </w:tc>
        <w:tc>
          <w:tcPr>
            <w:tcW w:w="1270" w:type="dxa"/>
            <w:tcBorders>
              <w:top w:val="single" w:sz="4" w:space="0" w:color="000000"/>
              <w:left w:val="single" w:sz="4" w:space="0" w:color="000000"/>
              <w:bottom w:val="single" w:sz="4" w:space="0" w:color="000000"/>
              <w:right w:val="single" w:sz="4" w:space="0" w:color="000000"/>
            </w:tcBorders>
          </w:tcPr>
          <w:p>
            <w:pPr>
              <w:pStyle w:val="Normal"/>
              <w:spacing w:before="0" w:after="0"/>
              <w:jc w:val="right"/>
              <w:rPr>
                <w:color w:val="000000"/>
                <w:sz w:val="24"/>
                <w:szCs w:val="24"/>
              </w:rPr>
            </w:pPr>
            <w:r>
              <w:rPr>
                <w:color w:val="000000"/>
                <w:sz w:val="24"/>
                <w:szCs w:val="24"/>
              </w:rPr>
            </w:r>
          </w:p>
        </w:tc>
      </w:tr>
    </w:tbl>
    <w:p>
      <w:pPr>
        <w:pStyle w:val="Normal"/>
        <w:widowControl/>
        <w:spacing w:lineRule="auto" w:line="240" w:before="0" w:after="160"/>
        <w:rPr>
          <w:rFonts w:ascii="Calibri" w:hAnsi="Calibri" w:eastAsia="Calibri" w:cs="Calibri"/>
          <w:b w:val="false"/>
          <w:bCs w:val="false"/>
          <w:i w:val="false"/>
          <w:i w:val="false"/>
          <w:iCs w:val="false"/>
          <w:caps w:val="false"/>
          <w:smallCaps w:val="false"/>
          <w:color w:themeColor="text1" w:val="000000"/>
          <w:sz w:val="24"/>
          <w:szCs w:val="24"/>
          <w:lang w:val="de-DE"/>
        </w:rPr>
      </w:pPr>
      <w:r>
        <w:rPr>
          <w:rFonts w:eastAsia="Calibri" w:cs="Calibri"/>
          <w:b/>
          <w:bCs/>
          <w:i w:val="false"/>
          <w:iCs w:val="false"/>
          <w:caps w:val="false"/>
          <w:smallCaps w:val="false"/>
          <w:color w:themeColor="text1" w:val="000000"/>
          <w:sz w:val="24"/>
          <w:szCs w:val="24"/>
          <w:lang w:val="de-DE"/>
        </w:rPr>
        <w:t/>
      </w:r>
    </w:p>
    <w:p>
      <w:pPr>
        <w:pStyle w:val="Normal"/>
        <w:spacing w:lineRule="auto" w:line="240"/>
        <w:rPr>
          <w:color w:val="000000"/>
          <w:sz w:val="24"/>
          <w:szCs w:val="24"/>
        </w:rPr>
      </w:pPr>
      <w:r>
        <w:rPr>
          <w:color w:themeColor="text1" w:val="000000"/>
          <w:sz w:val="24"/>
          <w:szCs w:val="24"/>
        </w:rPr>
        <w:t xml:space="preserve">Dieses Angebot ist gültig bis </w:t>
      </w:r>
      <w:r>
        <w:rPr>
          <w:rFonts w:eastAsia="Calibri" w:cs="Calibri"/>
          <w:b w:val="false"/>
          <w:bCs w:val="false"/>
          <w:i w:val="false"/>
          <w:iCs w:val="false"/>
          <w:caps w:val="false"/>
          <w:smallCaps w:val="false"/>
          <w:color w:themeColor="text1" w:val="000000"/>
          <w:sz w:val="24"/>
          <w:szCs w:val="24"/>
          <w:lang w:val="de-DE"/>
        </w:rPr>
        <w:t xml:space="preserve">07.04.2026</w:t>
      </w:r>
    </w:p>
    <w:p>
      <w:pPr>
        <w:pStyle w:val="Normal"/>
        <w:spacing w:lineRule="auto" w:line="240"/>
        <w:rPr>
          <w:color w:val="000000"/>
          <w:sz w:val="24"/>
          <w:szCs w:val="24"/>
        </w:rPr>
      </w:pPr>
      <w:r>
        <w:rPr>
          <w:color w:themeColor="text1" w:val="000000"/>
          <w:sz w:val="24"/>
          <w:szCs w:val="24"/>
        </w:rPr>
        <w:t xml:space="preserve">Lieferweg: </w:t>
      </w:r>
      <w:r>
        <w:rPr/>
        <w:tab/>
        <w:tab/>
        <w:tab/>
        <w:tab/>
      </w:r>
      <w:r>
        <w:rPr>
          <w:color w:themeColor="text1" w:val="000000"/>
          <w:sz w:val="24"/>
          <w:szCs w:val="24"/>
        </w:rPr>
        <w:t>Digital via Email</w:t>
      </w:r>
      <w:r>
        <w:rPr/>
        <w:br/>
      </w:r>
      <w:r>
        <w:rPr>
          <w:color w:themeColor="text1" w:val="000000"/>
          <w:sz w:val="24"/>
          <w:szCs w:val="24"/>
        </w:rPr>
        <w:t/>
      </w:r>
    </w:p>
    <w:p>
      <w:pPr>
        <w:pStyle w:val="Normal"/>
        <w:spacing w:lineRule="auto" w:line="240"/>
        <w:rPr>
          <w:sz w:val="24"/>
          <w:szCs w:val="24"/>
        </w:rPr>
      </w:pPr>
      <w:r>
        <w:rPr>
          <w:color w:themeColor="text1" w:val="000000"/>
          <w:sz w:val="24"/>
          <w:szCs w:val="24"/>
        </w:rPr>
        <w:t xml:space="preserve">Voraussichtl. Leistungsdatum: 7-10 Werktage </w:t>
      </w:r>
      <w:r>
        <w:rPr>
          <w:sz w:val="24"/>
          <w:szCs w:val="24"/>
        </w:rPr>
        <w:t xml:space="preserve">Arbeitstage </w:t>
      </w:r>
      <w:bookmarkStart w:id="0" w:name="_Hlk133315080"/>
      <w:r>
        <w:rPr>
          <w:b/>
          <w:bCs/>
          <w:sz w:val="24"/>
          <w:szCs w:val="24"/>
        </w:rPr>
        <w:t xml:space="preserve">nach Eingang der Anzahlung i.H.v. 50% des Bruttopreises (200.904.251,97 EUR) </w:t>
      </w:r>
      <w:r>
        <w:rPr>
          <w:sz w:val="24"/>
          <w:szCs w:val="24"/>
        </w:rPr>
        <w:t xml:space="preserve">und</w:t>
      </w:r>
      <w:r>
        <w:rPr>
          <w:b/>
          <w:bCs/>
          <w:sz w:val="24"/>
          <w:szCs w:val="24"/>
        </w:rPr>
        <w:t xml:space="preserve"> </w:t>
      </w:r>
      <w:r>
        <w:rPr>
          <w:sz w:val="24"/>
          <w:szCs w:val="24"/>
        </w:rPr>
        <w:t xml:space="preserve">Erhalt aller Unterlagen und Informationen</w:t>
      </w:r>
    </w:p>
    <w:p>
      <w:pPr>
        <w:pStyle w:val="Normal"/>
        <w:spacing w:lineRule="auto" w:line="240"/>
        <w:rPr>
          <w:sz w:val="24"/>
          <w:szCs w:val="24"/>
        </w:rPr>
      </w:pPr>
      <w:r>
        <w:rPr>
          <w:sz w:val="24"/>
          <w:szCs w:val="24"/>
        </w:rPr>
        <w:t/>
      </w:r>
      <w:bookmarkEnd w:id="0"/>
      <w:r>
        <w:rPr>
          <w:color w:val="000000"/>
          <w:sz w:val="24"/>
          <w:szCs w:val="24"/>
        </w:rPr>
        <w:br/>
        <w:t>Mit freundlichen Grüßen</w:t>
        <w:br/>
        <w:t>Christopher Helm</w:t>
      </w:r>
    </w:p>
    <w:p>
      <w:pPr>
        <w:pStyle w:val="Normal"/>
        <w:spacing w:lineRule="auto" w:line="240"/>
        <w:rPr>
          <w:i/>
          <w:i/>
          <w:iCs/>
          <w:color w:val="000000"/>
          <w:sz w:val="20"/>
          <w:szCs w:val="20"/>
        </w:rPr>
      </w:pPr>
      <w:r>
        <w:rPr>
          <w:i/>
          <w:iCs/>
          <w:color w:val="000000"/>
          <w:sz w:val="20"/>
          <w:szCs w:val="20"/>
        </w:rPr>
      </w:r>
    </w:p>
    <w:p>
      <w:pPr>
        <w:pStyle w:val="Normal"/>
        <w:spacing w:lineRule="auto" w:line="240"/>
        <w:rPr>
          <w:i/>
          <w:i/>
          <w:iCs/>
          <w:color w:val="000000"/>
          <w:sz w:val="20"/>
          <w:szCs w:val="20"/>
          <w:lang w:val="bg-BG"/>
        </w:rPr>
      </w:pPr>
      <w:r>
        <w:rPr>
          <w:i/>
          <w:iCs/>
          <w:color w:themeColor="text1" w:val="000000"/>
          <w:sz w:val="20"/>
          <w:szCs w:val="20"/>
          <w:lang w:val="bg-BG"/>
        </w:rPr>
        <w:t xml:space="preserve">(1): Sollten Sie nach der gratis Revision eine weitere Revision benötigen, die nicht durch uns verschuldet wurde, führen wir diese standardmässig für 50 % des Nettopreises pro Visualisierung durch. Unsere effizienten Prozesse und die sehr hohe Qualität führen jedoch dazu, dass in der Regel eine einzige Revision ausreicht: In hunderten von Projekten benötigen unsere Kunden nur in 6 % aller Fälle eine zusätzliche Revision, und auch dann meist nur, wenn sich die Pläne nachträglich deutlich geändert haben.</w:t>
      </w:r>
    </w:p>
    <w:p>
      <w:pPr>
        <w:pStyle w:val="Normal"/>
        <w:spacing w:lineRule="auto" w:line="240"/>
        <w:rPr>
          <w:i/>
          <w:i/>
          <w:iCs/>
          <w:color w:val="000000"/>
          <w:sz w:val="20"/>
          <w:szCs w:val="20"/>
          <w:lang w:val="bg-BG"/>
        </w:rPr>
      </w:pPr>
      <w:r>
        <w:rPr>
          <w:i/>
          <w:iCs/>
          <w:color w:themeColor="text1" w:val="000000"/>
          <w:sz w:val="20"/>
          <w:szCs w:val="20"/>
          <w:lang w:val="bg-BG"/>
        </w:rPr>
        <w:t xml:space="preserve">Bitte beachten Sie: Bei Änderungen der Pläne (unabhängig davon, ob diese im Rahmen der gratis oder einer zusätzlichen Revision erfolgen) wird der Preis je nach Umfang der Veränderungen individuell festgelegt. Je nach Umfang dauert eine Revision mindestens 50 % der ursprünglichen Lieferzeit.</w:t>
      </w:r>
    </w:p>
    <w:p>
      <w:pPr>
        <w:pStyle w:val="Normal"/>
        <w:spacing w:lineRule="auto" w:line="240"/>
        <w:rPr>
          <w:i/>
          <w:i/>
          <w:iCs/>
          <w:color w:themeColor="text1" w:val="000000"/>
          <w:sz w:val="20"/>
          <w:szCs w:val="20"/>
          <w:lang w:val="bg-BG"/>
        </w:rPr>
      </w:pPr>
      <w:r>
        <w:rPr>
          <w:i/>
          <w:iCs/>
          <w:color w:themeColor="text1" w:val="000000"/>
          <w:sz w:val="20"/>
          <w:szCs w:val="20"/>
          <w:lang w:val="bg-BG"/>
        </w:rPr>
        <w:t xml:space="preserve">Haftungsausschluss: Wir sind stets bestrebt, Ihre Visualisierungen so detailgetreu wie möglich zu erstellen. Jedoch dienen die Visualisierungen nur der Veranschaulichung. Folglich wird keine Haftung für eventuelle Schäden auf Grund von Abweichungen übernommen.</w:t>
      </w:r>
    </w:p>
    <w:p>
      <w:pPr>
        <w:pStyle w:val="Normal"/>
        <w:spacing w:lineRule="auto" w:line="240"/>
        <w:rPr>
          <w:i/>
          <w:i/>
          <w:iCs/>
          <w:color w:val="000000"/>
          <w:sz w:val="20"/>
          <w:szCs w:val="20"/>
        </w:rPr>
      </w:pPr>
      <w:r>
        <w:rPr>
          <w:i/>
          <w:iCs/>
          <w:color w:themeColor="text1" w:val="000000"/>
          <w:sz w:val="20"/>
          <w:szCs w:val="20"/>
        </w:rPr>
        <w:t xml:space="preserve">Nutzungsrecht: Die Nutzung der durch uns erstellten Visualisierungen ist erst nach Zahlung gestattet.</w:t>
      </w:r>
    </w:p>
    <w:p>
      <w:pPr>
        <w:pStyle w:val="Normal"/>
        <w:spacing w:lineRule="auto" w:line="240"/>
        <w:rPr>
          <w:i/>
          <w:i/>
          <w:iCs/>
          <w:color w:val="000000"/>
          <w:sz w:val="20"/>
          <w:szCs w:val="20"/>
        </w:rPr>
      </w:pPr>
      <w:r>
        <w:rPr>
          <w:i/>
          <w:iCs/>
          <w:color w:themeColor="text1" w:val="000000"/>
          <w:sz w:val="20"/>
          <w:szCs w:val="20"/>
        </w:rPr>
        <w:t xml:space="preserve">Es gelten unsere allgemeinen Verkaufs- und Lieferbedingungen. Die gültige Version der allgemeinen Verkaufs- und Lieferbedingungen Stand 03/2023 finden Sie auf der Website: https://www.exposeprofi.de/agb. Außerdem auf Anforderung erhältlich.</w:t>
      </w:r>
    </w:p>
    <w:p>
      <w:pPr>
        <w:pStyle w:val="Normal"/>
        <w:spacing w:lineRule="auto" w:line="240"/>
        <w:rPr>
          <w:i/>
          <w:i/>
          <w:iCs/>
          <w:color w:val="000000"/>
          <w:sz w:val="20"/>
          <w:szCs w:val="20"/>
          <w:lang w:val="bg-BG"/>
        </w:rPr>
      </w:pPr>
      <w:r>
        <w:rPr>
          <w:i/>
          <w:iCs/>
          <w:color w:themeColor="text1" w:val="000000"/>
          <w:sz w:val="20"/>
          <w:szCs w:val="20"/>
          <w:lang w:val="bg-BG"/>
        </w:rPr>
        <w:t xml:space="preserve">Nach der ersten vollständigen Lieferung aller bestellten Produkte wird das Projekt in Rechnung gestellt. Die im Angebot inbegriffene kostenlose Revision können Sie jederzeit in Anspruch nehmen.</w:t>
      </w:r>
    </w:p>
    <w:p>
      <w:pPr>
        <w:pStyle w:val="Normal"/>
        <w:spacing w:lineRule="auto" w:line="240"/>
        <w:rPr>
          <w:i/>
          <w:i/>
          <w:iCs/>
          <w:color w:val="000000"/>
          <w:sz w:val="20"/>
          <w:szCs w:val="20"/>
          <w:lang w:val="bg-BG"/>
        </w:rPr>
      </w:pPr>
      <w:r>
        <w:rPr>
          <w:i/>
          <w:iCs/>
          <w:color w:themeColor="text1" w:val="000000"/>
          <w:sz w:val="20"/>
          <w:szCs w:val="20"/>
          <w:lang w:val="bg-BG"/>
        </w:rPr>
        <w:t xml:space="preserve">Damit wir Ihr Projekt zügig und planbar umsetzen können, reservieren wir feste Kapazitäten. Wenn Sie die vollständigen Unterlagen entgegen Ihrer ursprünglichen Planung nicht innerhalb von 30 Tagen nach Angebotsannahme einreichen können, bleibt Ihr Auftrag selbstverständlich erhalten. Wir wandeln ihn dann einfach in eine Gutscheinrechnung um. Der Gutschein ist 12 Monate gültig und kann flexibel für Visualisierungen des Objektes eingesetzt werden.</w:t>
      </w:r>
    </w:p>
    <w:p>
      <w:pPr>
        <w:pStyle w:val="Normal"/>
        <w:spacing w:lineRule="auto" w:line="240"/>
        <w:rPr>
          <w:i/>
          <w:i/>
          <w:iCs/>
          <w:color w:val="000000"/>
          <w:sz w:val="20"/>
          <w:szCs w:val="20"/>
          <w:lang w:val="bg-BG"/>
        </w:rPr>
      </w:pPr>
      <w:r>
        <w:rPr>
          <w:i/>
          <w:iCs/>
          <w:color w:val="000000"/>
          <w:sz w:val="20"/>
          <w:szCs w:val="20"/>
          <w:lang w:val="bg-BG"/>
        </w:rPr>
      </w:r>
    </w:p>
    <w:p>
      <w:pPr>
        <w:pStyle w:val="Normal"/>
        <w:spacing w:lineRule="auto" w:line="240"/>
        <w:rPr>
          <w:i/>
          <w:i/>
          <w:iCs/>
          <w:color w:val="000000"/>
          <w:sz w:val="20"/>
          <w:szCs w:val="20"/>
          <w:lang w:val="bg-BG"/>
        </w:rPr>
      </w:pPr>
      <w:r>
        <w:rPr>
          <w:i/>
          <w:iCs/>
          <w:color w:val="000000"/>
          <w:sz w:val="20"/>
          <w:szCs w:val="20"/>
          <w:lang w:val="bg-BG"/>
        </w:rPr>
      </w:r>
    </w:p>
    <w:p>
      <w:pPr>
        <w:pStyle w:val="Normal"/>
        <w:rPr/>
      </w:pPr>
      <w:r>
        <w:rPr/>
      </w:r>
    </w:p>
    <w:p>
      <w:pPr>
        <w:pStyle w:val="Normal"/>
        <w:spacing w:lineRule="auto" w:line="240" w:before="0" w:after="160"/>
        <w:rPr>
          <w:i/>
          <w:i/>
          <w:iCs/>
          <w:color w:val="000000"/>
          <w:sz w:val="20"/>
          <w:szCs w:val="20"/>
        </w:rPr>
      </w:pPr>
      <w:r>
        <w:rPr>
          <w:i/>
          <w:iCs/>
          <w:color w:val="000000"/>
          <w:sz w:val="20"/>
          <w:szCs w:val="20"/>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17" w:right="1417" w:gutter="0" w:header="708" w:top="1417" w:footer="708" w:bottom="1134"/>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Segoe UI">
    <w:charset w:val="01"/>
    <w:family w:val="roman"/>
    <w:pitch w:val="variable"/>
  </w:font>
  <w:font w:name="Liberation Sans">
    <w:altName w:val="Arial"/>
    <w:charset w:val="01"/>
    <w:family w:val="roman"/>
    <w:pitch w:val="variable"/>
  </w:font>
  <w:font w:name="Times New Roman">
    <w:charset w:val="01"/>
    <w:family w:val="roman"/>
    <w:pitch w:val="variable"/>
  </w:font>
  <w:font w:name="Georgia">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62" w:type="dxa"/>
      <w:jc w:val="left"/>
      <w:tblInd w:w="0" w:type="dxa"/>
      <w:tblLayout w:type="fixed"/>
      <w:tblCellMar>
        <w:top w:w="0" w:type="dxa"/>
        <w:left w:w="108" w:type="dxa"/>
        <w:bottom w:w="0" w:type="dxa"/>
        <w:right w:w="108" w:type="dxa"/>
      </w:tblCellMar>
      <w:tblLook w:val="0400" w:noHBand="0" w:noVBand="1" w:firstColumn="0" w:lastRow="0" w:lastColumn="0" w:firstRow="0"/>
    </w:tblPr>
    <w:tblGrid>
      <w:gridCol w:w="3020"/>
      <w:gridCol w:w="3021"/>
      <w:gridCol w:w="3021"/>
    </w:tblGrid>
    <w:tr>
      <w:trPr/>
      <w:tc>
        <w:tcPr>
          <w:tcW w:w="3020" w:type="dxa"/>
          <w:tcBorders/>
        </w:tcPr>
        <w:p>
          <w:pPr>
            <w:pStyle w:val="Normal"/>
            <w:spacing w:lineRule="auto" w:line="276" w:before="0" w:after="160"/>
            <w:rPr>
              <w:color w:val="000000"/>
              <w:sz w:val="16"/>
              <w:szCs w:val="16"/>
            </w:rPr>
          </w:pPr>
          <w:r>
            <w:rPr>
              <w:color w:val="000000"/>
              <w:sz w:val="16"/>
              <w:szCs w:val="16"/>
            </w:rPr>
            <w:t xml:space="preserve">ExposeProfi.de </w:t>
            <w:br/>
            <w:t>EPCS GmbH</w:t>
            <w:br/>
            <w:t>GF: Christopher Helm</w:t>
            <w:br/>
            <w:t>Bruder-Klaus-Str. 3a, 78467 Konstanz</w:t>
            <w:br/>
            <w:t>HRB 725172, Amtsgericht Freiburg</w:t>
            <w:br/>
            <w:t>Steuer-Nr: 0908011277</w:t>
            <w:br/>
            <w:t>USt.-ID: DE347265281</w:t>
          </w:r>
        </w:p>
      </w:tc>
      <w:tc>
        <w:tcPr>
          <w:tcW w:w="3021" w:type="dxa"/>
          <w:tcBorders/>
        </w:tcPr>
        <w:p>
          <w:pPr>
            <w:pStyle w:val="Normal"/>
            <w:spacing w:lineRule="auto" w:line="276" w:before="0" w:after="160"/>
            <w:rPr>
              <w:color w:val="000000"/>
              <w:sz w:val="16"/>
              <w:szCs w:val="16"/>
              <w:lang w:val="pt-BR"/>
            </w:rPr>
          </w:pPr>
          <w:r>
            <w:rPr>
              <w:color w:val="000000"/>
              <w:sz w:val="16"/>
              <w:szCs w:val="16"/>
              <w:lang w:val="pt-BR"/>
            </w:rPr>
            <w:t xml:space="preserve">Bankverbindung: </w:t>
            <w:br/>
            <w:t>Qonto (Banque de France)</w:t>
            <w:br/>
            <w:t>IBAN DE62100101239488471916</w:t>
          </w:r>
        </w:p>
      </w:tc>
      <w:tc>
        <w:tcPr>
          <w:tcW w:w="3021" w:type="dxa"/>
          <w:tcBorders/>
        </w:tcPr>
        <w:p>
          <w:pPr>
            <w:pStyle w:val="Normal"/>
            <w:spacing w:lineRule="auto" w:line="276" w:before="0" w:after="160"/>
            <w:rPr>
              <w:color w:val="000000"/>
              <w:sz w:val="16"/>
              <w:szCs w:val="16"/>
              <w:lang w:val="en-US"/>
            </w:rPr>
          </w:pPr>
          <w:r>
            <w:rPr>
              <w:color w:val="000000"/>
              <w:sz w:val="16"/>
              <w:szCs w:val="16"/>
              <w:lang w:val="en-US"/>
            </w:rPr>
            <w:t>Email: christopher.helm@exposeprofi.de</w:t>
            <w:br/>
            <w:t>Web: www.exposeprofi.de</w:t>
            <w:br/>
            <w:t>Telefon: +49-7531-1227491</w:t>
            <w:br/>
          </w:r>
        </w:p>
      </w:tc>
    </w:tr>
  </w:tbl>
  <w:p>
    <w:pPr>
      <w:pStyle w:val="Footer"/>
      <w:rPr>
        <w:lang w:val="en-US"/>
      </w:rPr>
    </w:pPr>
    <w:r>
      <w:rPr>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060" w:type="dxa"/>
      <w:jc w:val="left"/>
      <w:tblInd w:w="0" w:type="dxa"/>
      <w:tblLayout w:type="fixed"/>
      <w:tblCellMar>
        <w:top w:w="0" w:type="dxa"/>
        <w:left w:w="108" w:type="dxa"/>
        <w:bottom w:w="0" w:type="dxa"/>
        <w:right w:w="108" w:type="dxa"/>
      </w:tblCellMar>
      <w:tblLook w:val="06a0" w:noHBand="1" w:noVBand="1" w:firstColumn="1" w:lastRow="0" w:lastColumn="0" w:firstRow="1"/>
    </w:tblPr>
    <w:tblGrid>
      <w:gridCol w:w="3020"/>
      <w:gridCol w:w="3020"/>
      <w:gridCol w:w="3020"/>
    </w:tblGrid>
    <w:tr>
      <w:trPr>
        <w:trHeight w:val="300" w:hRule="atLeast"/>
      </w:trPr>
      <w:tc>
        <w:tcPr>
          <w:tcW w:w="3020" w:type="dxa"/>
          <w:tcBorders/>
        </w:tcPr>
        <w:p>
          <w:pPr>
            <w:pStyle w:val="Header"/>
            <w:widowControl/>
            <w:suppressAutoHyphens w:val="true"/>
            <w:bidi w:val="0"/>
            <w:spacing w:before="0" w:after="0"/>
            <w:ind w:left="-115"/>
            <w:jc w:val="lef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jc w:val="center"/>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c>
        <w:tcPr>
          <w:tcW w:w="3020" w:type="dxa"/>
          <w:tcBorders/>
        </w:tcPr>
        <w:p>
          <w:pPr>
            <w:pStyle w:val="Header"/>
            <w:widowControl/>
            <w:suppressAutoHyphens w:val="true"/>
            <w:bidi w:val="0"/>
            <w:spacing w:before="0" w:after="0"/>
            <w:ind w:right="-115"/>
            <w:jc w:val="right"/>
            <w:rPr>
              <w:rFonts w:ascii="Calibri" w:hAnsi="Calibri" w:eastAsia="Calibri" w:cs="Calibri"/>
              <w:kern w:val="0"/>
              <w:sz w:val="22"/>
              <w:szCs w:val="22"/>
              <w:lang w:val="de-DE" w:eastAsia="en-US" w:bidi="ar-SA"/>
            </w:rPr>
          </w:pPr>
          <w:r>
            <w:rPr>
              <w:rFonts w:eastAsia="Calibri" w:cs="Calibri"/>
              <w:kern w:val="0"/>
              <w:sz w:val="22"/>
              <w:szCs w:val="22"/>
              <w:lang w:val="de-DE" w:eastAsia="en-US" w:bidi="ar-SA"/>
            </w:rPr>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3">
    <w:lvl w:ilvl="0">
      <w:start w:val="1"/>
      <w:numFmt w:val="bullet"/>
      <w:lvlText w:val=""/>
      <w:lvlJc w:val="left"/>
      <w:pPr>
        <w:ind w:left="360" w:hanging="360"/>
      </w:pPr>
      <w:rPr>
        <w:rFonts w:ascii="Symbol" w:hAnsi="Symbol" w:hint="default"/>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de-DE" w:eastAsia="en-US" w:bidi="ar-SA"/>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semiHidden/>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d44176"/>
    <w:rPr>
      <w:color w:themeColor="hyperlink" w:val="0563C1"/>
      <w:u w:val="single"/>
    </w:rPr>
  </w:style>
  <w:style w:type="character" w:styleId="UnresolvedMention">
    <w:name w:val="Unresolved Mention"/>
    <w:basedOn w:val="DefaultParagraphFont"/>
    <w:uiPriority w:val="99"/>
    <w:semiHidden/>
    <w:unhideWhenUsed/>
    <w:qFormat/>
    <w:rsid w:val="00d44176"/>
    <w:rPr>
      <w:color w:val="605E5C"/>
      <w:shd w:fill="E1DFDD" w:val="clear"/>
    </w:rPr>
  </w:style>
  <w:style w:type="character" w:styleId="BalloonTextChar" w:customStyle="1">
    <w:name w:val="Balloon Text Char"/>
    <w:basedOn w:val="DefaultParagraphFont"/>
    <w:link w:val="BalloonText"/>
    <w:uiPriority w:val="99"/>
    <w:semiHidden/>
    <w:qFormat/>
    <w:rsid w:val="00a94e44"/>
    <w:rPr>
      <w:rFonts w:ascii="Segoe UI" w:hAnsi="Segoe UI" w:cs="Segoe UI"/>
      <w:sz w:val="18"/>
      <w:szCs w:val="18"/>
    </w:rPr>
  </w:style>
  <w:style w:type="character" w:styleId="HeaderChar" w:customStyle="1">
    <w:name w:val="Header Char"/>
    <w:basedOn w:val="DefaultParagraphFont"/>
    <w:link w:val="Header"/>
    <w:uiPriority w:val="99"/>
    <w:qFormat/>
    <w:rsid w:val="003e74de"/>
    <w:rPr/>
  </w:style>
  <w:style w:type="character" w:styleId="FooterChar" w:customStyle="1">
    <w:name w:val="Footer Char"/>
    <w:basedOn w:val="DefaultParagraphFont"/>
    <w:link w:val="Footer"/>
    <w:uiPriority w:val="99"/>
    <w:qFormat/>
    <w:rsid w:val="003e74de"/>
    <w:rPr/>
  </w:style>
  <w:style w:type="character" w:styleId="FollowedHyperlink">
    <w:name w:val="FollowedHyperlink"/>
    <w:basedOn w:val="DefaultParagraphFont"/>
    <w:uiPriority w:val="99"/>
    <w:semiHidden/>
    <w:unhideWhenUsed/>
    <w:rsid w:val="001e3388"/>
    <w:rPr>
      <w:color w:themeColor="followedHyperlink" w:val="954F72"/>
      <w:u w:val="single"/>
    </w:rPr>
  </w:style>
  <w:style w:type="character" w:styleId="normaltextrun" w:customStyle="1">
    <w:name w:val="normaltextrun"/>
    <w:basedOn w:val="DefaultParagraphFont"/>
    <w:qFormat/>
    <w:rsid w:val="00ef3348"/>
    <w:rPr/>
  </w:style>
  <w:style w:type="character" w:styleId="eop" w:customStyle="1">
    <w:name w:val="eop"/>
    <w:basedOn w:val="DefaultParagraphFont"/>
    <w:qFormat/>
    <w:rsid w:val="00ef3348"/>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uiPriority w:val="10"/>
    <w:qFormat/>
    <w:pPr>
      <w:keepNext w:val="true"/>
      <w:keepLines/>
      <w:spacing w:before="480" w:after="120"/>
    </w:pPr>
    <w:rPr>
      <w:b/>
      <w:sz w:val="72"/>
      <w:szCs w:val="72"/>
    </w:rPr>
  </w:style>
  <w:style w:type="paragraph" w:styleId="ListParagraph">
    <w:name w:val="List Paragraph"/>
    <w:basedOn w:val="Normal"/>
    <w:uiPriority w:val="34"/>
    <w:qFormat/>
    <w:rsid w:val="00074813"/>
    <w:pPr>
      <w:spacing w:before="0" w:after="160"/>
      <w:ind w:left="720"/>
      <w:contextualSpacing/>
    </w:pPr>
    <w:rPr/>
  </w:style>
  <w:style w:type="paragraph" w:styleId="NormalWeb">
    <w:name w:val="Normal (Web)"/>
    <w:basedOn w:val="Normal"/>
    <w:uiPriority w:val="99"/>
    <w:semiHidden/>
    <w:unhideWhenUsed/>
    <w:qFormat/>
    <w:rsid w:val="00d44176"/>
    <w:pPr>
      <w:spacing w:lineRule="auto" w:line="240" w:beforeAutospacing="1" w:afterAutospacing="1"/>
    </w:pPr>
    <w:rPr>
      <w:rFonts w:ascii="Times New Roman" w:hAnsi="Times New Roman" w:eastAsia="Times New Roman" w:cs="Times New Roman"/>
      <w:sz w:val="24"/>
      <w:szCs w:val="24"/>
    </w:rPr>
  </w:style>
  <w:style w:type="paragraph" w:styleId="BalloonText">
    <w:name w:val="Balloon Text"/>
    <w:basedOn w:val="Normal"/>
    <w:link w:val="BalloonTextChar"/>
    <w:uiPriority w:val="99"/>
    <w:semiHidden/>
    <w:unhideWhenUsed/>
    <w:qFormat/>
    <w:rsid w:val="00a94e44"/>
    <w:pPr>
      <w:spacing w:lineRule="auto" w:line="240" w:before="0" w:after="0"/>
    </w:pPr>
    <w:rPr>
      <w:rFonts w:ascii="Segoe UI" w:hAnsi="Segoe UI" w:cs="Segoe UI"/>
      <w:sz w:val="18"/>
      <w:szCs w:val="18"/>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Normal"/>
    <w:link w:val="HeaderChar"/>
    <w:uiPriority w:val="99"/>
    <w:unhideWhenUsed/>
    <w:rsid w:val="003e74de"/>
    <w:pPr>
      <w:tabs>
        <w:tab w:val="clear" w:pos="720"/>
        <w:tab w:val="center" w:pos="4703" w:leader="none"/>
        <w:tab w:val="right" w:pos="9406" w:leader="none"/>
      </w:tabs>
      <w:spacing w:lineRule="auto" w:line="240" w:before="0" w:after="0"/>
    </w:pPr>
    <w:rPr/>
  </w:style>
  <w:style w:type="paragraph" w:styleId="Footer">
    <w:name w:val="Footer"/>
    <w:basedOn w:val="Normal"/>
    <w:link w:val="FooterChar"/>
    <w:uiPriority w:val="99"/>
    <w:unhideWhenUsed/>
    <w:rsid w:val="003e74de"/>
    <w:pPr>
      <w:tabs>
        <w:tab w:val="clear" w:pos="720"/>
        <w:tab w:val="center" w:pos="4703" w:leader="none"/>
        <w:tab w:val="right" w:pos="9406" w:leader="none"/>
      </w:tabs>
      <w:spacing w:lineRule="auto" w:line="240" w:before="0" w:after="0"/>
    </w:pPr>
    <w:rPr/>
  </w:style>
  <w:style w:type="paragraph" w:styleId="paragraph" w:customStyle="1">
    <w:name w:val="paragraph"/>
    <w:basedOn w:val="Normal"/>
    <w:qFormat/>
    <w:rsid w:val="00ef3348"/>
    <w:pPr>
      <w:spacing w:lineRule="auto" w:line="240" w:beforeAutospacing="1" w:afterAutospacing="1"/>
    </w:pPr>
    <w:rPr>
      <w:rFonts w:ascii="Times New Roman" w:hAnsi="Times New Roman" w:eastAsia="Times New Roman" w:cs="Times New Roman"/>
      <w:sz w:val="24"/>
      <w:szCs w:val="24"/>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Normal1">
    <w:name w:val="Table Normal1"/>
    <w:tblPr>
      <w:tblCellMar>
        <w:top w:w="0" w:type="dxa"/>
        <w:left w:w="0" w:type="dxa"/>
        <w:bottom w:w="0" w:type="dxa"/>
        <w:right w:w="0" w:type="dxa"/>
      </w:tblCellMar>
    </w:tblPr>
  </w:style>
  <w:style w:type="table" w:styleId="TableGrid">
    <w:name w:val="Table Grid"/>
    <w:basedOn w:val="TableNormal"/>
    <w:uiPriority w:val="39"/>
    <w:rsid w:val="0007481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htt6ii9busXasAjocrpBzgjvw==">AMUW2mXriy3uwMKUwyMhNNryYx4F+GVYKAr/o720WJLwmt5JUM0WcKxvF6rvZSMsLCcfKwA0O//lgVwIBrzrBtkFQwFOfDrYeiAibabN9V7Mu7H/oA9v3ZbIPoUQtdBP7ydQtPgpQZfp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Application>LibreOffice/24.2.7.2$Linux_X86_64 LibreOffice_project/420$Build-2</Application>
  <AppVersion>15.0000</AppVersion>
  <Pages>4</Pages>
  <Words>400</Words>
  <Characters>3112</Characters>
  <CharactersWithSpaces>3475</CharactersWithSpaces>
  <Paragraphs>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2023-03-06T12:30:00Z</dcterms:created>
  <dc:creator>Christopher Helm</dc:creator>
  <dc:description/>
  <dc:language>en-US</dc:language>
  <cp:lastModifiedBy/>
  <dcterms:modified xsi:type="dcterms:W3CDTF">2026-04-09T10:10:29Z</dcterms:modified>
  <cp:revision>125</cp:revision>
  <dc:subject/>
  <dc:title/>
</cp:coreProperties>
</file>

<file path=docProps/custom.xml><?xml version="1.0" encoding="utf-8"?>
<Properties xmlns="http://schemas.openxmlformats.org/officeDocument/2006/custom-properties" xmlns:vt="http://schemas.openxmlformats.org/officeDocument/2006/docPropsVTypes"/>
</file>