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87040">
      <w:r>
        <w:pict>
          <v:shape id="_x0000_i1026" o:spt="75" type="#_x0000_t75" style="height:317.5pt;width:415.1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3E8751FF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Figure 1: NMDS 2 Clusters</w:t>
      </w:r>
    </w:p>
    <w:p w14:paraId="464D545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From the above figure we can see that: </w:t>
      </w:r>
    </w:p>
    <w:p w14:paraId="03C8F70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1D6D4F8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Cluster 1 (red): Ladyginskie Yary, Chernyi Bay, Sopochnaya Karga, and Ledyanaya Gora.</w:t>
      </w:r>
    </w:p>
    <w:p w14:paraId="565D00A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B08160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Cluster 2 (blue): Sibiryakov Island–Srednee Lake and Kara Village.</w:t>
      </w:r>
    </w:p>
    <w:p w14:paraId="2B90E23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0F228906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The clear separation along NMDS Axis 1 indicates that the chrysophyte communities in Cluster 1 differ considerably from those in Cluster 2. The black vector representing Synura cornuta (S. cornuta) suggests that this species significantly contributes to the differences among the sites. And finally a stress value of 0 indicates an excellent ordination fit, meaning the plot accurately represents the relationships among samples.</w:t>
      </w:r>
    </w:p>
    <w:p w14:paraId="77452F8B">
      <w:pPr>
        <w:keepNext w:val="0"/>
        <w:keepLines w:val="0"/>
        <w:widowControl/>
        <w:suppressLineNumbers w:val="0"/>
        <w:jc w:val="left"/>
      </w:pPr>
    </w:p>
    <w:p w14:paraId="168F57EE">
      <w:pPr>
        <w:jc w:val="center"/>
        <w:rPr>
          <w:rFonts w:hint="default"/>
          <w:lang w:val="en-US"/>
        </w:rPr>
      </w:pPr>
    </w:p>
    <w:p w14:paraId="2EC301A5">
      <w:pPr>
        <w:jc w:val="center"/>
        <w:rPr>
          <w:rFonts w:hint="default"/>
          <w:lang w:val="en-US"/>
        </w:rPr>
      </w:pPr>
    </w:p>
    <w:p w14:paraId="7A51090A">
      <w:pPr>
        <w:jc w:val="center"/>
        <w:rPr>
          <w:rFonts w:hint="default"/>
          <w:lang w:val="en-US"/>
        </w:rPr>
      </w:pPr>
    </w:p>
    <w:p w14:paraId="680C4BFD">
      <w:pPr>
        <w:jc w:val="center"/>
        <w:rPr>
          <w:rFonts w:hint="default"/>
          <w:lang w:val="en-US"/>
        </w:rPr>
      </w:pPr>
    </w:p>
    <w:p w14:paraId="0DBAA902">
      <w:pPr>
        <w:jc w:val="center"/>
        <w:rPr>
          <w:rFonts w:hint="default"/>
          <w:lang w:val="en-US"/>
        </w:rPr>
      </w:pPr>
    </w:p>
    <w:p w14:paraId="51BBE217">
      <w:pPr>
        <w:jc w:val="center"/>
        <w:rPr>
          <w:rFonts w:hint="default"/>
          <w:lang w:val="en-US"/>
        </w:rPr>
      </w:pPr>
    </w:p>
    <w:p w14:paraId="79D62A5D">
      <w:pPr>
        <w:jc w:val="center"/>
      </w:pPr>
      <w:r>
        <w:pict>
          <v:shape id="_x0000_i1027" o:spt="75" type="#_x0000_t75" style="height:342.2pt;width:415.3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1D10E24A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Figure 2: NMDS 3 Clusters</w:t>
      </w:r>
    </w:p>
    <w:p w14:paraId="26130E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From the above figure we can see that:</w:t>
      </w:r>
    </w:p>
    <w:p w14:paraId="0A3C03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46B94A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Cluster 1 (red): Sopochnaya Karga and Ledyanaya Gora.</w:t>
      </w:r>
    </w:p>
    <w:p w14:paraId="57F1E0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6D51D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Cluster 2 (blue): Sibiryakov Island–Srednee Lake and Kara Village.</w:t>
      </w:r>
    </w:p>
    <w:p w14:paraId="644786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6396D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Cluster 3 (green): Ladyginskie Yary and Chernyi Bay.</w:t>
      </w:r>
    </w:p>
    <w:p w14:paraId="38958B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9FEFDD5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This arrangement suggests that Ladyginskie Yary and Chernyi Bay have a community composition distinct enough to form their own cluster rather than being grouped with the other red sites. The significant species vector (S. cornuta) still points toward the lower-left area, indicating its association with sites in that direction. The stress value of 0 again shows that the ordination provides a very reliable representation of the community similarities.</w:t>
      </w:r>
    </w:p>
    <w:p w14:paraId="476245EC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11533D3"/>
    <w:rsid w:val="02B96008"/>
    <w:rsid w:val="038D1B08"/>
    <w:rsid w:val="03B30EF1"/>
    <w:rsid w:val="0517201D"/>
    <w:rsid w:val="067B57E2"/>
    <w:rsid w:val="0C14470F"/>
    <w:rsid w:val="0CF92397"/>
    <w:rsid w:val="104B5DF8"/>
    <w:rsid w:val="119A02EF"/>
    <w:rsid w:val="13052DC4"/>
    <w:rsid w:val="137837D5"/>
    <w:rsid w:val="13A670CA"/>
    <w:rsid w:val="1AF776D6"/>
    <w:rsid w:val="1C4466EF"/>
    <w:rsid w:val="1CA468C8"/>
    <w:rsid w:val="1EAE5864"/>
    <w:rsid w:val="2350337E"/>
    <w:rsid w:val="23B35621"/>
    <w:rsid w:val="27AE01C7"/>
    <w:rsid w:val="28E53925"/>
    <w:rsid w:val="29E277A3"/>
    <w:rsid w:val="2BCB4317"/>
    <w:rsid w:val="2C14155E"/>
    <w:rsid w:val="2C8B4122"/>
    <w:rsid w:val="2EC17EC2"/>
    <w:rsid w:val="2F6A4298"/>
    <w:rsid w:val="323F246E"/>
    <w:rsid w:val="32B026B6"/>
    <w:rsid w:val="32ED7F9D"/>
    <w:rsid w:val="33F702E4"/>
    <w:rsid w:val="3BA00DF5"/>
    <w:rsid w:val="40281B4E"/>
    <w:rsid w:val="40C66554"/>
    <w:rsid w:val="40D3586A"/>
    <w:rsid w:val="44405732"/>
    <w:rsid w:val="44D51F86"/>
    <w:rsid w:val="45923F97"/>
    <w:rsid w:val="4BA0691E"/>
    <w:rsid w:val="4DBA1C40"/>
    <w:rsid w:val="4EDA10ED"/>
    <w:rsid w:val="56CD4470"/>
    <w:rsid w:val="56EA31B2"/>
    <w:rsid w:val="59E73D36"/>
    <w:rsid w:val="5A0B3BFA"/>
    <w:rsid w:val="5AC41908"/>
    <w:rsid w:val="5C071895"/>
    <w:rsid w:val="5D1E472B"/>
    <w:rsid w:val="5F662111"/>
    <w:rsid w:val="60317A81"/>
    <w:rsid w:val="63BD3030"/>
    <w:rsid w:val="67137614"/>
    <w:rsid w:val="677333E1"/>
    <w:rsid w:val="6A510F7A"/>
    <w:rsid w:val="6BE2620E"/>
    <w:rsid w:val="712F289B"/>
    <w:rsid w:val="720F34AF"/>
    <w:rsid w:val="736308DE"/>
    <w:rsid w:val="74977656"/>
    <w:rsid w:val="77D15C90"/>
    <w:rsid w:val="7AF5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65</Words>
  <Characters>325</Characters>
  <Paragraphs>27</Paragraphs>
  <TotalTime>2</TotalTime>
  <ScaleCrop>false</ScaleCrop>
  <LinksUpToDate>false</LinksUpToDate>
  <CharactersWithSpaces>403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2026-06-02T13:28:37Z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1033-12.1.0.26372</vt:lpwstr>
  </property>
</Properties>
</file>