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8A74" w14:textId="77777777" w:rsidR="00F00176" w:rsidRPr="00F00176" w:rsidRDefault="00F00176" w:rsidP="00C02F4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>Name: Kingsley Nweye</w:t>
      </w:r>
    </w:p>
    <w:p w14:paraId="629E805F" w14:textId="7885DB80" w:rsidR="00F00176" w:rsidRPr="00F00176" w:rsidRDefault="00F00176" w:rsidP="00C02F4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>Course: ARC 327R/386M Energy Modeling &amp; the Design Process</w:t>
      </w:r>
    </w:p>
    <w:p w14:paraId="75AF9CA4" w14:textId="5C93B06C" w:rsidR="00F00176" w:rsidRPr="00F00176" w:rsidRDefault="00F00176" w:rsidP="00C02F4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>Instructor</w:t>
      </w:r>
      <w:r w:rsidRPr="00F00176">
        <w:rPr>
          <w:rFonts w:ascii="Arial" w:hAnsi="Arial" w:cs="Arial"/>
          <w:sz w:val="22"/>
          <w:szCs w:val="22"/>
        </w:rPr>
        <w:t xml:space="preserve">: Prof. </w:t>
      </w:r>
      <w:proofErr w:type="spellStart"/>
      <w:r w:rsidRPr="00F00176">
        <w:rPr>
          <w:rFonts w:ascii="Arial" w:hAnsi="Arial" w:cs="Arial"/>
          <w:sz w:val="22"/>
          <w:szCs w:val="22"/>
        </w:rPr>
        <w:t>Dason</w:t>
      </w:r>
      <w:proofErr w:type="spellEnd"/>
      <w:r w:rsidRPr="00F00176">
        <w:rPr>
          <w:rFonts w:ascii="Arial" w:hAnsi="Arial" w:cs="Arial"/>
          <w:sz w:val="22"/>
          <w:szCs w:val="22"/>
        </w:rPr>
        <w:t xml:space="preserve"> Whitsett</w:t>
      </w:r>
    </w:p>
    <w:p w14:paraId="6D194180" w14:textId="7F1A237C" w:rsidR="00F00176" w:rsidRPr="00F00176" w:rsidRDefault="00F00176" w:rsidP="00C02F4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 xml:space="preserve">Title: </w:t>
      </w:r>
      <w:r w:rsidRPr="00F00176">
        <w:rPr>
          <w:rFonts w:ascii="Arial" w:hAnsi="Arial" w:cs="Arial"/>
          <w:sz w:val="22"/>
          <w:szCs w:val="22"/>
        </w:rPr>
        <w:t>Project 1.1</w:t>
      </w:r>
    </w:p>
    <w:p w14:paraId="3FFD217D" w14:textId="2AFF5212" w:rsidR="00F00176" w:rsidRDefault="00F00176" w:rsidP="00C02F4A">
      <w:p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 xml:space="preserve">Date: </w:t>
      </w:r>
      <w:r w:rsidRPr="00F00176">
        <w:rPr>
          <w:rFonts w:ascii="Arial" w:hAnsi="Arial" w:cs="Arial"/>
          <w:sz w:val="22"/>
          <w:szCs w:val="22"/>
        </w:rPr>
        <w:t>10</w:t>
      </w:r>
      <w:r w:rsidRPr="00F00176">
        <w:rPr>
          <w:rFonts w:ascii="Arial" w:hAnsi="Arial" w:cs="Arial"/>
          <w:sz w:val="22"/>
          <w:szCs w:val="22"/>
        </w:rPr>
        <w:t>/</w:t>
      </w:r>
      <w:r w:rsidRPr="00F00176">
        <w:rPr>
          <w:rFonts w:ascii="Arial" w:hAnsi="Arial" w:cs="Arial"/>
          <w:sz w:val="22"/>
          <w:szCs w:val="22"/>
        </w:rPr>
        <w:t>05</w:t>
      </w:r>
      <w:r w:rsidRPr="00F00176">
        <w:rPr>
          <w:rFonts w:ascii="Arial" w:hAnsi="Arial" w:cs="Arial"/>
          <w:sz w:val="22"/>
          <w:szCs w:val="22"/>
        </w:rPr>
        <w:t>/2020</w:t>
      </w:r>
    </w:p>
    <w:p w14:paraId="1FFC3AA8" w14:textId="152344E4" w:rsidR="00F00176" w:rsidRPr="00F00176" w:rsidRDefault="00F00176" w:rsidP="00C02F4A">
      <w:p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00176">
        <w:rPr>
          <w:rFonts w:ascii="Arial" w:hAnsi="Arial" w:cs="Arial"/>
          <w:b/>
          <w:bCs/>
          <w:sz w:val="22"/>
          <w:szCs w:val="22"/>
        </w:rPr>
        <w:t>SUMMARY</w:t>
      </w:r>
    </w:p>
    <w:p w14:paraId="4FCE895E" w14:textId="18E0C2BF" w:rsidR="002A0FB9" w:rsidRPr="00F00176" w:rsidRDefault="00C02F4A" w:rsidP="00C02F4A">
      <w:p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</w:t>
      </w:r>
      <w:r w:rsidR="00700F7C" w:rsidRPr="00F00176">
        <w:rPr>
          <w:rFonts w:ascii="Arial" w:hAnsi="Arial" w:cs="Arial"/>
          <w:sz w:val="22"/>
          <w:szCs w:val="22"/>
        </w:rPr>
        <w:t xml:space="preserve"> energy model of the as-built Farnsworth </w:t>
      </w:r>
      <w:r w:rsidR="000F23A1" w:rsidRPr="00F00176">
        <w:rPr>
          <w:rFonts w:ascii="Arial" w:hAnsi="Arial" w:cs="Arial"/>
          <w:sz w:val="22"/>
          <w:szCs w:val="22"/>
        </w:rPr>
        <w:t>H</w:t>
      </w:r>
      <w:r w:rsidR="00700F7C" w:rsidRPr="00F00176">
        <w:rPr>
          <w:rFonts w:ascii="Arial" w:hAnsi="Arial" w:cs="Arial"/>
          <w:sz w:val="22"/>
          <w:szCs w:val="22"/>
        </w:rPr>
        <w:t>ouse</w:t>
      </w:r>
      <w:r w:rsidR="00F666CC" w:rsidRPr="00F00176">
        <w:rPr>
          <w:rFonts w:ascii="Arial" w:hAnsi="Arial" w:cs="Arial"/>
          <w:sz w:val="22"/>
          <w:szCs w:val="22"/>
        </w:rPr>
        <w:t xml:space="preserve"> </w:t>
      </w:r>
      <w:r w:rsidR="00700F7C" w:rsidRPr="00F00176">
        <w:rPr>
          <w:rFonts w:ascii="Arial" w:hAnsi="Arial" w:cs="Arial"/>
          <w:sz w:val="22"/>
          <w:szCs w:val="22"/>
        </w:rPr>
        <w:t>was developed to include</w:t>
      </w:r>
      <w:r>
        <w:rPr>
          <w:rFonts w:ascii="Arial" w:hAnsi="Arial" w:cs="Arial"/>
          <w:sz w:val="22"/>
          <w:szCs w:val="22"/>
        </w:rPr>
        <w:t xml:space="preserve"> the</w:t>
      </w:r>
      <w:r w:rsidR="00700F7C" w:rsidRPr="00F00176">
        <w:rPr>
          <w:rFonts w:ascii="Arial" w:hAnsi="Arial" w:cs="Arial"/>
          <w:sz w:val="22"/>
          <w:szCs w:val="22"/>
        </w:rPr>
        <w:t xml:space="preserve"> dominant envelope characteristics </w:t>
      </w:r>
      <w:r w:rsidR="007F088C" w:rsidRPr="00F00176">
        <w:rPr>
          <w:rFonts w:ascii="Arial" w:hAnsi="Arial" w:cs="Arial"/>
          <w:sz w:val="22"/>
          <w:szCs w:val="22"/>
        </w:rPr>
        <w:t>including</w:t>
      </w:r>
      <w:r w:rsidR="00700F7C" w:rsidRPr="00F001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</w:t>
      </w:r>
      <w:r w:rsidR="005476B7" w:rsidRPr="00F00176">
        <w:rPr>
          <w:rFonts w:ascii="Arial" w:hAnsi="Arial" w:cs="Arial"/>
          <w:sz w:val="22"/>
          <w:szCs w:val="22"/>
        </w:rPr>
        <w:t xml:space="preserve"> </w:t>
      </w:r>
      <w:r w:rsidR="00700F7C" w:rsidRPr="00F00176">
        <w:rPr>
          <w:rFonts w:ascii="Arial" w:hAnsi="Arial" w:cs="Arial"/>
          <w:sz w:val="22"/>
          <w:szCs w:val="22"/>
        </w:rPr>
        <w:t>open</w:t>
      </w:r>
      <w:r w:rsidR="007F088C" w:rsidRPr="00F00176">
        <w:rPr>
          <w:rFonts w:ascii="Arial" w:hAnsi="Arial" w:cs="Arial"/>
          <w:sz w:val="22"/>
          <w:szCs w:val="22"/>
        </w:rPr>
        <w:t xml:space="preserve"> </w:t>
      </w:r>
      <w:r w:rsidR="005476B7" w:rsidRPr="00F00176">
        <w:rPr>
          <w:rFonts w:ascii="Arial" w:hAnsi="Arial" w:cs="Arial"/>
          <w:sz w:val="22"/>
          <w:szCs w:val="22"/>
        </w:rPr>
        <w:t>floor</w:t>
      </w:r>
      <w:r w:rsidR="007F088C" w:rsidRPr="00F00176">
        <w:rPr>
          <w:rFonts w:ascii="Arial" w:hAnsi="Arial" w:cs="Arial"/>
          <w:sz w:val="22"/>
          <w:szCs w:val="22"/>
        </w:rPr>
        <w:t xml:space="preserve"> space, </w:t>
      </w:r>
      <w:r w:rsidR="005476B7" w:rsidRPr="00F00176">
        <w:rPr>
          <w:rFonts w:ascii="Arial" w:hAnsi="Arial" w:cs="Arial"/>
          <w:sz w:val="22"/>
          <w:szCs w:val="22"/>
        </w:rPr>
        <w:t>cubicle</w:t>
      </w:r>
      <w:r w:rsidR="00446BF7" w:rsidRPr="00F00176">
        <w:rPr>
          <w:rFonts w:ascii="Arial" w:hAnsi="Arial" w:cs="Arial"/>
          <w:sz w:val="22"/>
          <w:szCs w:val="22"/>
        </w:rPr>
        <w:t>s</w:t>
      </w:r>
      <w:r w:rsidR="005476B7" w:rsidRPr="00F00176">
        <w:rPr>
          <w:rFonts w:ascii="Arial" w:hAnsi="Arial" w:cs="Arial"/>
          <w:sz w:val="22"/>
          <w:szCs w:val="22"/>
        </w:rPr>
        <w:t xml:space="preserve"> located </w:t>
      </w:r>
      <w:r w:rsidR="007F088C" w:rsidRPr="00F00176">
        <w:rPr>
          <w:rFonts w:ascii="Arial" w:hAnsi="Arial" w:cs="Arial"/>
          <w:sz w:val="22"/>
          <w:szCs w:val="22"/>
        </w:rPr>
        <w:t>north</w:t>
      </w:r>
      <w:r w:rsidR="005476B7" w:rsidRPr="00F00176">
        <w:rPr>
          <w:rFonts w:ascii="Arial" w:hAnsi="Arial" w:cs="Arial"/>
          <w:sz w:val="22"/>
          <w:szCs w:val="22"/>
        </w:rPr>
        <w:t>-east</w:t>
      </w:r>
      <w:r w:rsidR="007F088C" w:rsidRPr="00F00176">
        <w:rPr>
          <w:rFonts w:ascii="Arial" w:hAnsi="Arial" w:cs="Arial"/>
          <w:sz w:val="22"/>
          <w:szCs w:val="22"/>
        </w:rPr>
        <w:t xml:space="preserve"> of the open </w:t>
      </w:r>
      <w:r w:rsidR="005476B7" w:rsidRPr="00F00176">
        <w:rPr>
          <w:rFonts w:ascii="Arial" w:hAnsi="Arial" w:cs="Arial"/>
          <w:sz w:val="22"/>
          <w:szCs w:val="22"/>
        </w:rPr>
        <w:t>floor</w:t>
      </w:r>
      <w:r w:rsidR="007F088C" w:rsidRPr="00F00176">
        <w:rPr>
          <w:rFonts w:ascii="Arial" w:hAnsi="Arial" w:cs="Arial"/>
          <w:sz w:val="22"/>
          <w:szCs w:val="22"/>
        </w:rPr>
        <w:t xml:space="preserve"> space, </w:t>
      </w:r>
      <w:r w:rsidR="007F088C" w:rsidRPr="00F00176">
        <w:rPr>
          <w:rFonts w:ascii="Arial" w:hAnsi="Arial" w:cs="Arial"/>
          <w:sz w:val="22"/>
          <w:szCs w:val="22"/>
        </w:rPr>
        <w:t>outdoor exposed floor</w:t>
      </w:r>
      <w:r w:rsidR="00446BF7" w:rsidRPr="00F00176">
        <w:rPr>
          <w:rFonts w:ascii="Arial" w:hAnsi="Arial" w:cs="Arial"/>
          <w:sz w:val="22"/>
          <w:szCs w:val="22"/>
        </w:rPr>
        <w:t>s</w:t>
      </w:r>
      <w:r w:rsidR="007F088C" w:rsidRPr="00F00176">
        <w:rPr>
          <w:rFonts w:ascii="Arial" w:hAnsi="Arial" w:cs="Arial"/>
          <w:sz w:val="22"/>
          <w:szCs w:val="22"/>
        </w:rPr>
        <w:t>,</w:t>
      </w:r>
      <w:r w:rsidR="00700F7C" w:rsidRPr="00F00176">
        <w:rPr>
          <w:rFonts w:ascii="Arial" w:hAnsi="Arial" w:cs="Arial"/>
          <w:sz w:val="22"/>
          <w:szCs w:val="22"/>
        </w:rPr>
        <w:t xml:space="preserve"> </w:t>
      </w:r>
      <w:r w:rsidR="007F088C" w:rsidRPr="00F00176">
        <w:rPr>
          <w:rFonts w:ascii="Arial" w:hAnsi="Arial" w:cs="Arial"/>
          <w:sz w:val="22"/>
          <w:szCs w:val="22"/>
        </w:rPr>
        <w:t xml:space="preserve">an estimated </w:t>
      </w:r>
      <w:r w:rsidR="00700F7C" w:rsidRPr="00F00176">
        <w:rPr>
          <w:rFonts w:ascii="Arial" w:hAnsi="Arial" w:cs="Arial"/>
          <w:sz w:val="22"/>
          <w:szCs w:val="22"/>
        </w:rPr>
        <w:t>Window to Wall Ratio (WWR)</w:t>
      </w:r>
      <w:r w:rsidR="007F088C" w:rsidRPr="00F00176">
        <w:rPr>
          <w:rFonts w:ascii="Arial" w:hAnsi="Arial" w:cs="Arial"/>
          <w:sz w:val="22"/>
          <w:szCs w:val="22"/>
        </w:rPr>
        <w:t xml:space="preserve"> of 95</w:t>
      </w:r>
      <w:r w:rsidR="005476B7" w:rsidRPr="00F00176">
        <w:rPr>
          <w:rFonts w:ascii="Arial" w:hAnsi="Arial" w:cs="Arial"/>
          <w:sz w:val="22"/>
          <w:szCs w:val="22"/>
        </w:rPr>
        <w:t>.0</w:t>
      </w:r>
      <w:r w:rsidR="007F088C" w:rsidRPr="00F00176">
        <w:rPr>
          <w:rFonts w:ascii="Arial" w:hAnsi="Arial" w:cs="Arial"/>
          <w:sz w:val="22"/>
          <w:szCs w:val="22"/>
        </w:rPr>
        <w:t>%</w:t>
      </w:r>
      <w:r w:rsidR="00700F7C" w:rsidRPr="00F00176">
        <w:rPr>
          <w:rFonts w:ascii="Arial" w:hAnsi="Arial" w:cs="Arial"/>
          <w:sz w:val="22"/>
          <w:szCs w:val="22"/>
        </w:rPr>
        <w:t xml:space="preserve">, </w:t>
      </w:r>
      <w:r w:rsidR="007F088C" w:rsidRPr="00F00176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overhang on the</w:t>
      </w:r>
      <w:r w:rsidR="007F088C" w:rsidRPr="00F00176">
        <w:rPr>
          <w:rFonts w:ascii="Arial" w:hAnsi="Arial" w:cs="Arial"/>
          <w:sz w:val="22"/>
          <w:szCs w:val="22"/>
        </w:rPr>
        <w:t xml:space="preserve"> west fenestration. </w:t>
      </w:r>
      <w:r w:rsidR="000F23A1" w:rsidRPr="00F00176">
        <w:rPr>
          <w:rFonts w:ascii="Arial" w:hAnsi="Arial" w:cs="Arial"/>
          <w:sz w:val="22"/>
          <w:szCs w:val="22"/>
        </w:rPr>
        <w:t>A baseline retrofit model was developed to include</w:t>
      </w:r>
      <w:r w:rsidR="005476B7" w:rsidRPr="00F00176">
        <w:rPr>
          <w:rFonts w:ascii="Arial" w:hAnsi="Arial" w:cs="Arial"/>
          <w:sz w:val="22"/>
          <w:szCs w:val="22"/>
        </w:rPr>
        <w:t xml:space="preserve"> a</w:t>
      </w:r>
      <w:r w:rsidR="000F23A1" w:rsidRPr="00F00176">
        <w:rPr>
          <w:rFonts w:ascii="Arial" w:hAnsi="Arial" w:cs="Arial"/>
          <w:sz w:val="22"/>
          <w:szCs w:val="22"/>
        </w:rPr>
        <w:t xml:space="preserve"> 39.9m</w:t>
      </w:r>
      <w:r w:rsidR="000F23A1" w:rsidRPr="00F00176">
        <w:rPr>
          <w:rFonts w:ascii="Arial" w:hAnsi="Arial" w:cs="Arial"/>
          <w:sz w:val="22"/>
          <w:szCs w:val="22"/>
          <w:vertAlign w:val="superscript"/>
        </w:rPr>
        <w:t>2</w:t>
      </w:r>
      <w:r w:rsidR="000F23A1" w:rsidRPr="00F00176">
        <w:rPr>
          <w:rFonts w:ascii="Arial" w:hAnsi="Arial" w:cs="Arial"/>
          <w:sz w:val="22"/>
          <w:szCs w:val="22"/>
        </w:rPr>
        <w:t xml:space="preserve"> </w:t>
      </w:r>
      <w:r w:rsidR="005476B7" w:rsidRPr="00F00176">
        <w:rPr>
          <w:rFonts w:ascii="Arial" w:hAnsi="Arial" w:cs="Arial"/>
          <w:sz w:val="22"/>
          <w:szCs w:val="22"/>
        </w:rPr>
        <w:t xml:space="preserve">expansion located north of the east elevation to accommodate 2 extra bed spaces, 1 cubicle adjoined </w:t>
      </w:r>
      <w:r>
        <w:rPr>
          <w:rFonts w:ascii="Arial" w:hAnsi="Arial" w:cs="Arial"/>
          <w:sz w:val="22"/>
          <w:szCs w:val="22"/>
        </w:rPr>
        <w:t xml:space="preserve">to </w:t>
      </w:r>
      <w:r w:rsidR="005476B7" w:rsidRPr="00F00176">
        <w:rPr>
          <w:rFonts w:ascii="Arial" w:hAnsi="Arial" w:cs="Arial"/>
          <w:sz w:val="22"/>
          <w:szCs w:val="22"/>
        </w:rPr>
        <w:t>the existing cubicle</w:t>
      </w:r>
      <w:r>
        <w:rPr>
          <w:rFonts w:ascii="Arial" w:hAnsi="Arial" w:cs="Arial"/>
          <w:sz w:val="22"/>
          <w:szCs w:val="22"/>
        </w:rPr>
        <w:t>s</w:t>
      </w:r>
      <w:r w:rsidR="00446BF7" w:rsidRPr="00F00176">
        <w:rPr>
          <w:rFonts w:ascii="Arial" w:hAnsi="Arial" w:cs="Arial"/>
          <w:sz w:val="22"/>
          <w:szCs w:val="22"/>
        </w:rPr>
        <w:t xml:space="preserve"> to serve as </w:t>
      </w:r>
      <w:r>
        <w:rPr>
          <w:rFonts w:ascii="Arial" w:hAnsi="Arial" w:cs="Arial"/>
          <w:sz w:val="22"/>
          <w:szCs w:val="22"/>
        </w:rPr>
        <w:t>a</w:t>
      </w:r>
      <w:r w:rsidR="00446BF7" w:rsidRPr="00F00176">
        <w:rPr>
          <w:rFonts w:ascii="Arial" w:hAnsi="Arial" w:cs="Arial"/>
          <w:sz w:val="22"/>
          <w:szCs w:val="22"/>
        </w:rPr>
        <w:t xml:space="preserve"> bathroom</w:t>
      </w:r>
      <w:r w:rsidR="005476B7" w:rsidRPr="00F00176">
        <w:rPr>
          <w:rFonts w:ascii="Arial" w:hAnsi="Arial" w:cs="Arial"/>
          <w:sz w:val="22"/>
          <w:szCs w:val="22"/>
        </w:rPr>
        <w:t xml:space="preserve"> and a</w:t>
      </w:r>
      <w:r w:rsidR="00446BF7" w:rsidRPr="00F00176">
        <w:rPr>
          <w:rFonts w:ascii="Arial" w:hAnsi="Arial" w:cs="Arial"/>
          <w:sz w:val="22"/>
          <w:szCs w:val="22"/>
        </w:rPr>
        <w:t xml:space="preserve"> 43.8m</w:t>
      </w:r>
      <w:r w:rsidR="00446BF7" w:rsidRPr="00F00176">
        <w:rPr>
          <w:rFonts w:ascii="Arial" w:hAnsi="Arial" w:cs="Arial"/>
          <w:sz w:val="22"/>
          <w:szCs w:val="22"/>
          <w:vertAlign w:val="superscript"/>
        </w:rPr>
        <w:t>2</w:t>
      </w:r>
      <w:r w:rsidR="00446BF7" w:rsidRPr="00F00176">
        <w:rPr>
          <w:rFonts w:ascii="Arial" w:hAnsi="Arial" w:cs="Arial"/>
          <w:sz w:val="22"/>
          <w:szCs w:val="22"/>
        </w:rPr>
        <w:t xml:space="preserve"> </w:t>
      </w:r>
      <w:r w:rsidR="005476B7" w:rsidRPr="00F00176">
        <w:rPr>
          <w:rFonts w:ascii="Arial" w:hAnsi="Arial" w:cs="Arial"/>
          <w:sz w:val="22"/>
          <w:szCs w:val="22"/>
        </w:rPr>
        <w:t>2-car garage</w:t>
      </w:r>
      <w:r w:rsidR="00446BF7" w:rsidRPr="00F00176">
        <w:rPr>
          <w:rFonts w:ascii="Arial" w:hAnsi="Arial" w:cs="Arial"/>
          <w:sz w:val="22"/>
          <w:szCs w:val="22"/>
        </w:rPr>
        <w:t xml:space="preserve"> located</w:t>
      </w:r>
      <w:r w:rsidR="005476B7" w:rsidRPr="00F00176">
        <w:rPr>
          <w:rFonts w:ascii="Arial" w:hAnsi="Arial" w:cs="Arial"/>
          <w:sz w:val="22"/>
          <w:szCs w:val="22"/>
        </w:rPr>
        <w:t xml:space="preserve"> </w:t>
      </w:r>
      <w:r w:rsidR="00446BF7" w:rsidRPr="00F00176">
        <w:rPr>
          <w:rFonts w:ascii="Arial" w:hAnsi="Arial" w:cs="Arial"/>
          <w:sz w:val="22"/>
          <w:szCs w:val="22"/>
        </w:rPr>
        <w:t>south of the west elevation while maintain</w:t>
      </w:r>
      <w:r>
        <w:rPr>
          <w:rFonts w:ascii="Arial" w:hAnsi="Arial" w:cs="Arial"/>
          <w:sz w:val="22"/>
          <w:szCs w:val="22"/>
        </w:rPr>
        <w:t>ing</w:t>
      </w:r>
      <w:r w:rsidR="00446BF7" w:rsidRPr="00F00176">
        <w:rPr>
          <w:rFonts w:ascii="Arial" w:hAnsi="Arial" w:cs="Arial"/>
          <w:sz w:val="22"/>
          <w:szCs w:val="22"/>
        </w:rPr>
        <w:t xml:space="preserve"> the WWR </w:t>
      </w:r>
      <w:r>
        <w:rPr>
          <w:rFonts w:ascii="Arial" w:hAnsi="Arial" w:cs="Arial"/>
          <w:sz w:val="22"/>
          <w:szCs w:val="22"/>
        </w:rPr>
        <w:t>of the</w:t>
      </w:r>
      <w:r w:rsidR="00446BF7" w:rsidRPr="00F00176">
        <w:rPr>
          <w:rFonts w:ascii="Arial" w:hAnsi="Arial" w:cs="Arial"/>
          <w:sz w:val="22"/>
          <w:szCs w:val="22"/>
        </w:rPr>
        <w:t xml:space="preserve"> as-built model.</w:t>
      </w:r>
      <w:r w:rsidR="00C735DE" w:rsidRPr="00F001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="00C735DE" w:rsidRPr="00F00176">
        <w:rPr>
          <w:rFonts w:ascii="Arial" w:hAnsi="Arial" w:cs="Arial"/>
          <w:sz w:val="22"/>
          <w:szCs w:val="22"/>
        </w:rPr>
        <w:t>efault construction and schedules were taken from ASHRAE 189.1 Standard</w:t>
      </w:r>
      <w:r>
        <w:rPr>
          <w:rFonts w:ascii="Arial" w:hAnsi="Arial" w:cs="Arial"/>
          <w:sz w:val="22"/>
          <w:szCs w:val="22"/>
        </w:rPr>
        <w:t xml:space="preserve"> for </w:t>
      </w:r>
      <w:r w:rsidR="00C735DE" w:rsidRPr="00F00176">
        <w:rPr>
          <w:rFonts w:ascii="Arial" w:hAnsi="Arial" w:cs="Arial"/>
          <w:sz w:val="22"/>
          <w:szCs w:val="22"/>
        </w:rPr>
        <w:t>midrise apartment building</w:t>
      </w:r>
      <w:r>
        <w:rPr>
          <w:rFonts w:ascii="Arial" w:hAnsi="Arial" w:cs="Arial"/>
          <w:sz w:val="22"/>
          <w:szCs w:val="22"/>
        </w:rPr>
        <w:t xml:space="preserve"> while energy performance s</w:t>
      </w:r>
      <w:r w:rsidR="00F85710" w:rsidRPr="00F00176">
        <w:rPr>
          <w:rFonts w:ascii="Arial" w:hAnsi="Arial" w:cs="Arial"/>
          <w:sz w:val="22"/>
          <w:szCs w:val="22"/>
        </w:rPr>
        <w:t xml:space="preserve">imulations of both models were run </w:t>
      </w:r>
      <w:r>
        <w:rPr>
          <w:rFonts w:ascii="Arial" w:hAnsi="Arial" w:cs="Arial"/>
          <w:sz w:val="22"/>
          <w:szCs w:val="22"/>
        </w:rPr>
        <w:t xml:space="preserve">using </w:t>
      </w:r>
      <w:r w:rsidR="00F85710" w:rsidRPr="00F00176">
        <w:rPr>
          <w:rFonts w:ascii="Arial" w:hAnsi="Arial" w:cs="Arial"/>
          <w:sz w:val="22"/>
          <w:szCs w:val="22"/>
        </w:rPr>
        <w:t xml:space="preserve">Chicago-Midway AP TMY weather file [1]. </w:t>
      </w:r>
      <w:r w:rsidR="00C735DE" w:rsidRPr="00F00176">
        <w:rPr>
          <w:rFonts w:ascii="Arial" w:hAnsi="Arial" w:cs="Arial"/>
          <w:sz w:val="22"/>
          <w:szCs w:val="22"/>
        </w:rPr>
        <w:t xml:space="preserve"> </w:t>
      </w:r>
      <w:r w:rsidR="00F85710" w:rsidRPr="00F00176">
        <w:rPr>
          <w:rFonts w:ascii="Arial" w:hAnsi="Arial" w:cs="Arial"/>
          <w:sz w:val="22"/>
          <w:szCs w:val="22"/>
        </w:rPr>
        <w:t xml:space="preserve">Compared to the as-built model, the retrofit </w:t>
      </w:r>
      <w:r w:rsidR="00C735DE" w:rsidRPr="00F00176">
        <w:rPr>
          <w:rFonts w:ascii="Arial" w:hAnsi="Arial" w:cs="Arial"/>
          <w:sz w:val="22"/>
          <w:szCs w:val="22"/>
        </w:rPr>
        <w:t>model had 9.23% less Energy Use Intensity (EUI)</w:t>
      </w:r>
      <w:r w:rsidR="00F85710" w:rsidRPr="00F00176">
        <w:rPr>
          <w:rFonts w:ascii="Arial" w:hAnsi="Arial" w:cs="Arial"/>
          <w:sz w:val="22"/>
          <w:szCs w:val="22"/>
        </w:rPr>
        <w:t xml:space="preserve"> </w:t>
      </w:r>
      <w:r w:rsidR="00C735DE" w:rsidRPr="00F00176">
        <w:rPr>
          <w:rFonts w:ascii="Arial" w:hAnsi="Arial" w:cs="Arial"/>
          <w:sz w:val="22"/>
          <w:szCs w:val="22"/>
        </w:rPr>
        <w:t>but 42.8% higher site energy</w:t>
      </w:r>
      <w:r w:rsidR="00F85710" w:rsidRPr="00F00176">
        <w:rPr>
          <w:rFonts w:ascii="Arial" w:hAnsi="Arial" w:cs="Arial"/>
          <w:sz w:val="22"/>
          <w:szCs w:val="22"/>
        </w:rPr>
        <w:t>.</w:t>
      </w:r>
      <w:r w:rsidR="00546705" w:rsidRPr="00F00176">
        <w:rPr>
          <w:rFonts w:ascii="Arial" w:hAnsi="Arial" w:cs="Arial"/>
          <w:sz w:val="22"/>
          <w:szCs w:val="22"/>
        </w:rPr>
        <w:t xml:space="preserve"> </w:t>
      </w:r>
      <w:r w:rsidR="00546705" w:rsidRPr="00F00176">
        <w:rPr>
          <w:rFonts w:ascii="Arial" w:hAnsi="Arial" w:cs="Arial"/>
          <w:sz w:val="22"/>
          <w:szCs w:val="22"/>
        </w:rPr>
        <w:t xml:space="preserve">The dominant </w:t>
      </w:r>
      <w:r>
        <w:rPr>
          <w:rFonts w:ascii="Arial" w:hAnsi="Arial" w:cs="Arial"/>
          <w:sz w:val="22"/>
          <w:szCs w:val="22"/>
        </w:rPr>
        <w:t xml:space="preserve">annual </w:t>
      </w:r>
      <w:r w:rsidR="00546705" w:rsidRPr="00F00176">
        <w:rPr>
          <w:rFonts w:ascii="Arial" w:hAnsi="Arial" w:cs="Arial"/>
          <w:sz w:val="22"/>
          <w:szCs w:val="22"/>
        </w:rPr>
        <w:t>energy end uses in the retrofit model were heating and cooling loads at 67% and 20% respectively hence analysis of the building’s heat energy transportation phenomenon could result in improved energy efficiency.</w:t>
      </w:r>
    </w:p>
    <w:p w14:paraId="5E026A71" w14:textId="1DFC79A3" w:rsidR="004B5C43" w:rsidRPr="00F00176" w:rsidRDefault="002A0FB9" w:rsidP="00F00176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>Table 1. Baseline retrofit model parametric analysis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2379"/>
        <w:gridCol w:w="1574"/>
        <w:gridCol w:w="1908"/>
        <w:gridCol w:w="1915"/>
      </w:tblGrid>
      <w:tr w:rsidR="005C40DF" w:rsidRPr="005C40DF" w14:paraId="446F967E" w14:textId="77777777" w:rsidTr="00780936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0469E962" w14:textId="64362CCF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Measure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6E2B1530" w14:textId="31CFEB05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Use Intensity Reduction (%)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05D8C24F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Electricity Savings (%)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67A30B84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District Cooling Savings (%)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74FDB758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District Heating Savings (%)</w:t>
            </w:r>
          </w:p>
        </w:tc>
      </w:tr>
      <w:tr w:rsidR="005C40DF" w:rsidRPr="005C40DF" w14:paraId="29B197D2" w14:textId="77777777" w:rsidTr="00780936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07ED2C6E" w14:textId="1D983CA6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Adiabatic exterior floor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30CE2478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34.0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6F59E562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66C1DFFA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-11.0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36BA71EE" w14:textId="77777777" w:rsidR="004B5C43" w:rsidRPr="004B5C43" w:rsidRDefault="004B5C43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55.0</w:t>
            </w:r>
          </w:p>
        </w:tc>
      </w:tr>
      <w:tr w:rsidR="005C40DF" w:rsidRPr="005C40DF" w14:paraId="31471634" w14:textId="77777777" w:rsidTr="001342C1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1D1A1D65" w14:textId="0A7D09A8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infiltration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0DE677D2" w14:textId="59A34185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22.0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5D8F7BBE" w14:textId="3AD68134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648B1AA9" w14:textId="50977561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10.0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478AC226" w14:textId="6BA3FB09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29.0</w:t>
            </w:r>
          </w:p>
        </w:tc>
      </w:tr>
      <w:tr w:rsidR="005C40DF" w:rsidRPr="005C40DF" w14:paraId="1484D622" w14:textId="77777777" w:rsidTr="001342C1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</w:tcPr>
          <w:p w14:paraId="7C15A6CB" w14:textId="2024877F" w:rsidR="00780936" w:rsidRPr="005C40DF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1% WWR</w:t>
            </w:r>
          </w:p>
        </w:tc>
        <w:tc>
          <w:tcPr>
            <w:tcW w:w="1273" w:type="pct"/>
            <w:shd w:val="clear" w:color="auto" w:fill="auto"/>
            <w:noWrap/>
            <w:vAlign w:val="center"/>
          </w:tcPr>
          <w:p w14:paraId="65ACAB56" w14:textId="346ED633" w:rsidR="00780936" w:rsidRPr="005C40DF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18</w:t>
            </w: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832" w:type="pct"/>
            <w:shd w:val="clear" w:color="auto" w:fill="auto"/>
            <w:noWrap/>
            <w:vAlign w:val="center"/>
          </w:tcPr>
          <w:p w14:paraId="2C35EA2B" w14:textId="1B1C2BCF" w:rsidR="00780936" w:rsidRPr="005C40DF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010" w:type="pct"/>
            <w:shd w:val="clear" w:color="auto" w:fill="auto"/>
            <w:noWrap/>
            <w:vAlign w:val="center"/>
          </w:tcPr>
          <w:p w14:paraId="2B654AFD" w14:textId="22C97067" w:rsidR="00780936" w:rsidRPr="005C40DF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41</w:t>
            </w: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020" w:type="pct"/>
            <w:shd w:val="clear" w:color="auto" w:fill="auto"/>
            <w:noWrap/>
            <w:vAlign w:val="center"/>
          </w:tcPr>
          <w:p w14:paraId="67FA9DCE" w14:textId="24E9EED8" w:rsidR="00780936" w:rsidRPr="005C40DF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</w:t>
            </w: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.0</w:t>
            </w:r>
          </w:p>
        </w:tc>
      </w:tr>
      <w:tr w:rsidR="005C40DF" w:rsidRPr="005C40DF" w14:paraId="5BFB877E" w14:textId="77777777" w:rsidTr="001342C1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0F2BA009" w14:textId="64E8D1C3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R-99 windows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17A73644" w14:textId="449EE319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17.0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04D97CA3" w14:textId="7232C180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268F39F4" w14:textId="599F1CA1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-22.0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5FAF1D15" w14:textId="2E2ED6D6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32.0</w:t>
            </w:r>
          </w:p>
        </w:tc>
      </w:tr>
      <w:tr w:rsidR="005C40DF" w:rsidRPr="005C40DF" w14:paraId="4C8F19F5" w14:textId="77777777" w:rsidTr="001342C1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5B89D6F2" w14:textId="23600A3B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Adiabatic exterior roof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5207EA83" w14:textId="48CFD23D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10.0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14BC9350" w14:textId="7C9ADDAD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216C10DF" w14:textId="4EF5ED77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4.0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49D00650" w14:textId="645656AF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13.0</w:t>
            </w:r>
          </w:p>
        </w:tc>
      </w:tr>
      <w:tr w:rsidR="005C40DF" w:rsidRPr="005C40DF" w14:paraId="07595FA7" w14:textId="77777777" w:rsidTr="001342C1">
        <w:trPr>
          <w:trHeight w:val="360"/>
        </w:trPr>
        <w:tc>
          <w:tcPr>
            <w:tcW w:w="865" w:type="pct"/>
            <w:shd w:val="clear" w:color="auto" w:fill="auto"/>
            <w:noWrap/>
            <w:vAlign w:val="center"/>
            <w:hideMark/>
          </w:tcPr>
          <w:p w14:paraId="1AE3ACC0" w14:textId="7C3C452A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5C40D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lighting</w:t>
            </w:r>
          </w:p>
        </w:tc>
        <w:tc>
          <w:tcPr>
            <w:tcW w:w="1273" w:type="pct"/>
            <w:shd w:val="clear" w:color="auto" w:fill="auto"/>
            <w:noWrap/>
            <w:vAlign w:val="center"/>
            <w:hideMark/>
          </w:tcPr>
          <w:p w14:paraId="2B66FEE5" w14:textId="54C7DE21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6.0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294D5310" w14:textId="5764BA81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64.0</w:t>
            </w:r>
          </w:p>
        </w:tc>
        <w:tc>
          <w:tcPr>
            <w:tcW w:w="1010" w:type="pct"/>
            <w:shd w:val="clear" w:color="auto" w:fill="auto"/>
            <w:noWrap/>
            <w:vAlign w:val="center"/>
            <w:hideMark/>
          </w:tcPr>
          <w:p w14:paraId="16784550" w14:textId="00285324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12.0</w:t>
            </w:r>
          </w:p>
        </w:tc>
        <w:tc>
          <w:tcPr>
            <w:tcW w:w="1020" w:type="pct"/>
            <w:shd w:val="clear" w:color="auto" w:fill="auto"/>
            <w:noWrap/>
            <w:vAlign w:val="center"/>
            <w:hideMark/>
          </w:tcPr>
          <w:p w14:paraId="1F07BFE4" w14:textId="72DE94A0" w:rsidR="00780936" w:rsidRPr="004B5C43" w:rsidRDefault="00780936" w:rsidP="00F0017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B5C4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-7.0</w:t>
            </w:r>
          </w:p>
        </w:tc>
      </w:tr>
    </w:tbl>
    <w:p w14:paraId="5DB25890" w14:textId="753DCCCE" w:rsidR="002A0FB9" w:rsidRPr="00F00176" w:rsidRDefault="002A0FB9" w:rsidP="00C02F4A">
      <w:pPr>
        <w:spacing w:before="160" w:after="160"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>Using Open Studio’s Parametric Analysis Tool (PAT) a</w:t>
      </w:r>
      <w:r w:rsidR="00780936" w:rsidRPr="00F00176">
        <w:rPr>
          <w:rFonts w:ascii="Arial" w:hAnsi="Arial" w:cs="Arial"/>
          <w:sz w:val="22"/>
          <w:szCs w:val="22"/>
        </w:rPr>
        <w:t>n</w:t>
      </w:r>
      <w:r w:rsidRPr="00F00176">
        <w:rPr>
          <w:rFonts w:ascii="Arial" w:hAnsi="Arial" w:cs="Arial"/>
          <w:sz w:val="22"/>
          <w:szCs w:val="22"/>
        </w:rPr>
        <w:t xml:space="preserve"> approach similar to that in [2] was adopted </w:t>
      </w:r>
      <w:r w:rsidR="00C02F4A">
        <w:rPr>
          <w:rFonts w:ascii="Arial" w:hAnsi="Arial" w:cs="Arial"/>
          <w:sz w:val="22"/>
          <w:szCs w:val="22"/>
        </w:rPr>
        <w:t>to</w:t>
      </w:r>
      <w:r w:rsidRPr="00F00176">
        <w:rPr>
          <w:rFonts w:ascii="Arial" w:hAnsi="Arial" w:cs="Arial"/>
          <w:sz w:val="22"/>
          <w:szCs w:val="22"/>
        </w:rPr>
        <w:t xml:space="preserve"> </w:t>
      </w:r>
      <w:r w:rsidR="00780936" w:rsidRPr="00F00176">
        <w:rPr>
          <w:rFonts w:ascii="Arial" w:hAnsi="Arial" w:cs="Arial"/>
          <w:sz w:val="22"/>
          <w:szCs w:val="22"/>
        </w:rPr>
        <w:t>investigat</w:t>
      </w:r>
      <w:r w:rsidR="00C02F4A">
        <w:rPr>
          <w:rFonts w:ascii="Arial" w:hAnsi="Arial" w:cs="Arial"/>
          <w:sz w:val="22"/>
          <w:szCs w:val="22"/>
        </w:rPr>
        <w:t>e</w:t>
      </w:r>
      <w:r w:rsidRPr="00F00176">
        <w:rPr>
          <w:rFonts w:ascii="Arial" w:hAnsi="Arial" w:cs="Arial"/>
          <w:sz w:val="22"/>
          <w:szCs w:val="22"/>
        </w:rPr>
        <w:t xml:space="preserve"> the impact of </w:t>
      </w:r>
      <w:r w:rsidR="00780936" w:rsidRPr="00F00176">
        <w:rPr>
          <w:rFonts w:ascii="Arial" w:hAnsi="Arial" w:cs="Arial"/>
          <w:sz w:val="22"/>
          <w:szCs w:val="22"/>
        </w:rPr>
        <w:t xml:space="preserve">removing </w:t>
      </w:r>
      <w:r w:rsidRPr="00F00176">
        <w:rPr>
          <w:rFonts w:ascii="Arial" w:hAnsi="Arial" w:cs="Arial"/>
          <w:sz w:val="22"/>
          <w:szCs w:val="22"/>
        </w:rPr>
        <w:t xml:space="preserve">each thermal energy path or source. </w:t>
      </w:r>
      <w:r w:rsidRPr="00F00176">
        <w:rPr>
          <w:rFonts w:ascii="Arial" w:hAnsi="Arial" w:cs="Arial"/>
          <w:sz w:val="22"/>
          <w:szCs w:val="22"/>
        </w:rPr>
        <w:t xml:space="preserve">Table 1 </w:t>
      </w:r>
      <w:r w:rsidR="00780936" w:rsidRPr="00F00176">
        <w:rPr>
          <w:rFonts w:ascii="Arial" w:hAnsi="Arial" w:cs="Arial"/>
          <w:sz w:val="22"/>
          <w:szCs w:val="22"/>
        </w:rPr>
        <w:t>lists</w:t>
      </w:r>
      <w:r w:rsidRPr="00F00176">
        <w:rPr>
          <w:rFonts w:ascii="Arial" w:hAnsi="Arial" w:cs="Arial"/>
          <w:sz w:val="22"/>
          <w:szCs w:val="22"/>
        </w:rPr>
        <w:t xml:space="preserve"> the </w:t>
      </w:r>
      <w:r w:rsidR="00C33C6B" w:rsidRPr="00F00176">
        <w:rPr>
          <w:rFonts w:ascii="Arial" w:hAnsi="Arial" w:cs="Arial"/>
          <w:sz w:val="22"/>
          <w:szCs w:val="22"/>
        </w:rPr>
        <w:t>applied parametric measures in descending order of EUI reduction with respect to the baseline retrofit model.</w:t>
      </w:r>
      <w:r w:rsidR="004A7175" w:rsidRPr="00F00176">
        <w:rPr>
          <w:rFonts w:ascii="Arial" w:hAnsi="Arial" w:cs="Arial"/>
          <w:sz w:val="22"/>
          <w:szCs w:val="22"/>
        </w:rPr>
        <w:t xml:space="preserve"> </w:t>
      </w:r>
      <w:r w:rsidR="004D60D1" w:rsidRPr="00F00176">
        <w:rPr>
          <w:rFonts w:ascii="Arial" w:hAnsi="Arial" w:cs="Arial"/>
          <w:sz w:val="22"/>
          <w:szCs w:val="22"/>
        </w:rPr>
        <w:t xml:space="preserve">Given the high WWR, parametric analysis was carried out on windows but not exterior walls. </w:t>
      </w:r>
      <w:r w:rsidR="00754381" w:rsidRPr="00F00176">
        <w:rPr>
          <w:rFonts w:ascii="Arial" w:hAnsi="Arial" w:cs="Arial"/>
          <w:sz w:val="22"/>
          <w:szCs w:val="22"/>
        </w:rPr>
        <w:t>EUI and district heating reduction show</w:t>
      </w:r>
      <w:r w:rsidR="00754381">
        <w:rPr>
          <w:rFonts w:ascii="Arial" w:hAnsi="Arial" w:cs="Arial"/>
          <w:sz w:val="22"/>
          <w:szCs w:val="22"/>
        </w:rPr>
        <w:t>ed</w:t>
      </w:r>
      <w:r w:rsidR="00754381" w:rsidRPr="00F00176">
        <w:rPr>
          <w:rFonts w:ascii="Arial" w:hAnsi="Arial" w:cs="Arial"/>
          <w:sz w:val="22"/>
          <w:szCs w:val="22"/>
        </w:rPr>
        <w:t xml:space="preserve"> direct correlation. </w:t>
      </w:r>
      <w:r w:rsidR="004A7175" w:rsidRPr="00F00176">
        <w:rPr>
          <w:rFonts w:ascii="Arial" w:hAnsi="Arial" w:cs="Arial"/>
          <w:sz w:val="22"/>
          <w:szCs w:val="22"/>
        </w:rPr>
        <w:t xml:space="preserve">The </w:t>
      </w:r>
      <w:r w:rsidR="004D60D1" w:rsidRPr="00F00176">
        <w:rPr>
          <w:rFonts w:ascii="Arial" w:hAnsi="Arial" w:cs="Arial"/>
          <w:sz w:val="22"/>
          <w:szCs w:val="22"/>
        </w:rPr>
        <w:t xml:space="preserve">greatest </w:t>
      </w:r>
      <w:r w:rsidR="004A7175" w:rsidRPr="00F00176">
        <w:rPr>
          <w:rFonts w:ascii="Arial" w:hAnsi="Arial" w:cs="Arial"/>
          <w:sz w:val="22"/>
          <w:szCs w:val="22"/>
        </w:rPr>
        <w:t>heat</w:t>
      </w:r>
      <w:r w:rsidR="00754381">
        <w:rPr>
          <w:rFonts w:ascii="Arial" w:hAnsi="Arial" w:cs="Arial"/>
          <w:sz w:val="22"/>
          <w:szCs w:val="22"/>
        </w:rPr>
        <w:t>ing</w:t>
      </w:r>
      <w:r w:rsidR="004D60D1" w:rsidRPr="00F00176">
        <w:rPr>
          <w:rFonts w:ascii="Arial" w:hAnsi="Arial" w:cs="Arial"/>
          <w:sz w:val="22"/>
          <w:szCs w:val="22"/>
        </w:rPr>
        <w:t xml:space="preserve"> savings </w:t>
      </w:r>
      <w:r w:rsidR="004A7175" w:rsidRPr="00F00176">
        <w:rPr>
          <w:rFonts w:ascii="Arial" w:hAnsi="Arial" w:cs="Arial"/>
          <w:sz w:val="22"/>
          <w:szCs w:val="22"/>
        </w:rPr>
        <w:t>occur</w:t>
      </w:r>
      <w:r w:rsidR="004D60D1" w:rsidRPr="00F00176">
        <w:rPr>
          <w:rFonts w:ascii="Arial" w:hAnsi="Arial" w:cs="Arial"/>
          <w:sz w:val="22"/>
          <w:szCs w:val="22"/>
        </w:rPr>
        <w:t>red</w:t>
      </w:r>
      <w:r w:rsidR="004A7175" w:rsidRPr="00F00176">
        <w:rPr>
          <w:rFonts w:ascii="Arial" w:hAnsi="Arial" w:cs="Arial"/>
          <w:sz w:val="22"/>
          <w:szCs w:val="22"/>
        </w:rPr>
        <w:t xml:space="preserve"> through </w:t>
      </w:r>
      <w:r w:rsidR="004D60D1" w:rsidRPr="00F00176">
        <w:rPr>
          <w:rFonts w:ascii="Arial" w:hAnsi="Arial" w:cs="Arial"/>
          <w:sz w:val="22"/>
          <w:szCs w:val="22"/>
        </w:rPr>
        <w:t>adiabatic</w:t>
      </w:r>
      <w:r w:rsidR="004A7175" w:rsidRPr="00F00176">
        <w:rPr>
          <w:rFonts w:ascii="Arial" w:hAnsi="Arial" w:cs="Arial"/>
          <w:sz w:val="22"/>
          <w:szCs w:val="22"/>
        </w:rPr>
        <w:t xml:space="preserve"> floors </w:t>
      </w:r>
      <w:r w:rsidR="004D60D1" w:rsidRPr="00F00176">
        <w:rPr>
          <w:rFonts w:ascii="Arial" w:hAnsi="Arial" w:cs="Arial"/>
          <w:sz w:val="22"/>
          <w:szCs w:val="22"/>
        </w:rPr>
        <w:t xml:space="preserve">and </w:t>
      </w:r>
      <w:r w:rsidR="004A7175" w:rsidRPr="00F00176">
        <w:rPr>
          <w:rFonts w:ascii="Arial" w:hAnsi="Arial" w:cs="Arial"/>
          <w:sz w:val="22"/>
          <w:szCs w:val="22"/>
        </w:rPr>
        <w:t>windows</w:t>
      </w:r>
      <w:r w:rsidR="004D60D1" w:rsidRPr="00F00176">
        <w:rPr>
          <w:rFonts w:ascii="Arial" w:hAnsi="Arial" w:cs="Arial"/>
          <w:sz w:val="22"/>
          <w:szCs w:val="22"/>
        </w:rPr>
        <w:t xml:space="preserve"> as well as eliminated infiltration</w:t>
      </w:r>
      <w:r w:rsidR="004A7175" w:rsidRPr="00F00176">
        <w:rPr>
          <w:rFonts w:ascii="Arial" w:hAnsi="Arial" w:cs="Arial"/>
          <w:sz w:val="22"/>
          <w:szCs w:val="22"/>
        </w:rPr>
        <w:t>.</w:t>
      </w:r>
      <w:r w:rsidR="00754381">
        <w:rPr>
          <w:rFonts w:ascii="Arial" w:hAnsi="Arial" w:cs="Arial"/>
          <w:sz w:val="22"/>
          <w:szCs w:val="22"/>
        </w:rPr>
        <w:t xml:space="preserve"> </w:t>
      </w:r>
      <w:r w:rsidR="00C33C6B" w:rsidRPr="00F00176">
        <w:rPr>
          <w:rFonts w:ascii="Arial" w:hAnsi="Arial" w:cs="Arial"/>
          <w:sz w:val="22"/>
          <w:szCs w:val="22"/>
        </w:rPr>
        <w:t>The maximum</w:t>
      </w:r>
      <w:r w:rsidR="004D60D1" w:rsidRPr="00F00176">
        <w:rPr>
          <w:rFonts w:ascii="Arial" w:hAnsi="Arial" w:cs="Arial"/>
          <w:sz w:val="22"/>
          <w:szCs w:val="22"/>
        </w:rPr>
        <w:t xml:space="preserve"> EUI</w:t>
      </w:r>
      <w:r w:rsidR="00C33C6B" w:rsidRPr="00F00176">
        <w:rPr>
          <w:rFonts w:ascii="Arial" w:hAnsi="Arial" w:cs="Arial"/>
          <w:sz w:val="22"/>
          <w:szCs w:val="22"/>
        </w:rPr>
        <w:t xml:space="preserve"> reduction of 34% came from </w:t>
      </w:r>
      <w:r w:rsidR="004D60D1" w:rsidRPr="00F00176">
        <w:rPr>
          <w:rFonts w:ascii="Arial" w:hAnsi="Arial" w:cs="Arial"/>
          <w:sz w:val="22"/>
          <w:szCs w:val="22"/>
        </w:rPr>
        <w:t>the</w:t>
      </w:r>
      <w:r w:rsidR="00C33C6B" w:rsidRPr="00F00176">
        <w:rPr>
          <w:rFonts w:ascii="Arial" w:hAnsi="Arial" w:cs="Arial"/>
          <w:sz w:val="22"/>
          <w:szCs w:val="22"/>
        </w:rPr>
        <w:t xml:space="preserve"> adiabatic exterior floor. </w:t>
      </w:r>
      <w:r w:rsidR="004A7175" w:rsidRPr="00F00176">
        <w:rPr>
          <w:rFonts w:ascii="Arial" w:hAnsi="Arial" w:cs="Arial"/>
          <w:sz w:val="22"/>
          <w:szCs w:val="22"/>
        </w:rPr>
        <w:t>Although the</w:t>
      </w:r>
      <w:r w:rsidR="008062B9" w:rsidRPr="00F00176">
        <w:rPr>
          <w:rFonts w:ascii="Arial" w:hAnsi="Arial" w:cs="Arial"/>
          <w:sz w:val="22"/>
          <w:szCs w:val="22"/>
        </w:rPr>
        <w:t xml:space="preserve"> elimination of infiltration reduced the EUI by 22%</w:t>
      </w:r>
      <w:r w:rsidR="004A7175" w:rsidRPr="00F00176">
        <w:rPr>
          <w:rFonts w:ascii="Arial" w:hAnsi="Arial" w:cs="Arial"/>
          <w:sz w:val="22"/>
          <w:szCs w:val="22"/>
        </w:rPr>
        <w:t xml:space="preserve">, natural ventilation in the space may be needed to meet the PHIUS standards [3] </w:t>
      </w:r>
      <w:r w:rsidR="00754381">
        <w:rPr>
          <w:rFonts w:ascii="Arial" w:hAnsi="Arial" w:cs="Arial"/>
          <w:sz w:val="22"/>
          <w:szCs w:val="22"/>
        </w:rPr>
        <w:t>for</w:t>
      </w:r>
      <w:r w:rsidR="004A7175" w:rsidRPr="00F00176">
        <w:rPr>
          <w:rFonts w:ascii="Arial" w:hAnsi="Arial" w:cs="Arial"/>
          <w:sz w:val="22"/>
          <w:szCs w:val="22"/>
        </w:rPr>
        <w:t xml:space="preserve"> the simulation location.</w:t>
      </w:r>
      <w:r w:rsidR="007C75D2" w:rsidRPr="00F00176">
        <w:rPr>
          <w:rFonts w:ascii="Arial" w:hAnsi="Arial" w:cs="Arial"/>
          <w:sz w:val="22"/>
          <w:szCs w:val="22"/>
        </w:rPr>
        <w:t xml:space="preserve"> </w:t>
      </w:r>
      <w:r w:rsidR="00546705" w:rsidRPr="00F00176">
        <w:rPr>
          <w:rFonts w:ascii="Arial" w:hAnsi="Arial" w:cs="Arial"/>
          <w:sz w:val="22"/>
          <w:szCs w:val="22"/>
        </w:rPr>
        <w:t>With the WWR reduced to</w:t>
      </w:r>
      <w:r w:rsidR="004D60D1" w:rsidRPr="00F00176">
        <w:rPr>
          <w:rFonts w:ascii="Arial" w:hAnsi="Arial" w:cs="Arial"/>
          <w:sz w:val="22"/>
          <w:szCs w:val="22"/>
        </w:rPr>
        <w:t xml:space="preserve"> a negligible amount, maximum district cooling savings of 41% was achieved which </w:t>
      </w:r>
      <w:r w:rsidR="00A11B85" w:rsidRPr="00F00176">
        <w:rPr>
          <w:rFonts w:ascii="Arial" w:hAnsi="Arial" w:cs="Arial"/>
          <w:sz w:val="22"/>
          <w:szCs w:val="22"/>
        </w:rPr>
        <w:t>is</w:t>
      </w:r>
      <w:r w:rsidR="004D60D1" w:rsidRPr="00F00176">
        <w:rPr>
          <w:rFonts w:ascii="Arial" w:hAnsi="Arial" w:cs="Arial"/>
          <w:sz w:val="22"/>
          <w:szCs w:val="22"/>
        </w:rPr>
        <w:t xml:space="preserve"> attributed to the reduction in solar heat gains</w:t>
      </w:r>
      <w:r w:rsidR="00467340" w:rsidRPr="00F00176">
        <w:rPr>
          <w:rFonts w:ascii="Arial" w:hAnsi="Arial" w:cs="Arial"/>
          <w:sz w:val="22"/>
          <w:szCs w:val="22"/>
        </w:rPr>
        <w:t>.</w:t>
      </w:r>
      <w:r w:rsidR="004D60D1" w:rsidRPr="00F00176">
        <w:rPr>
          <w:rFonts w:ascii="Arial" w:hAnsi="Arial" w:cs="Arial"/>
          <w:sz w:val="22"/>
          <w:szCs w:val="22"/>
        </w:rPr>
        <w:t xml:space="preserve"> The </w:t>
      </w:r>
      <w:r w:rsidR="00754381">
        <w:rPr>
          <w:rFonts w:ascii="Arial" w:hAnsi="Arial" w:cs="Arial"/>
          <w:sz w:val="22"/>
          <w:szCs w:val="22"/>
        </w:rPr>
        <w:t>R-99</w:t>
      </w:r>
      <w:r w:rsidR="004D60D1" w:rsidRPr="00F00176">
        <w:rPr>
          <w:rFonts w:ascii="Arial" w:hAnsi="Arial" w:cs="Arial"/>
          <w:sz w:val="22"/>
          <w:szCs w:val="22"/>
        </w:rPr>
        <w:t xml:space="preserve"> window measure increased district cooling by 22%</w:t>
      </w:r>
      <w:r w:rsidR="00A11B85" w:rsidRPr="00F00176">
        <w:rPr>
          <w:rFonts w:ascii="Arial" w:hAnsi="Arial" w:cs="Arial"/>
          <w:sz w:val="22"/>
          <w:szCs w:val="22"/>
        </w:rPr>
        <w:t xml:space="preserve"> as a result of the counteractive reduced heat losses during </w:t>
      </w:r>
      <w:r w:rsidR="00754381">
        <w:rPr>
          <w:rFonts w:ascii="Arial" w:hAnsi="Arial" w:cs="Arial"/>
          <w:sz w:val="22"/>
          <w:szCs w:val="22"/>
        </w:rPr>
        <w:t>warmer periods</w:t>
      </w:r>
      <w:r w:rsidR="004D60D1" w:rsidRPr="00F00176">
        <w:rPr>
          <w:rFonts w:ascii="Arial" w:hAnsi="Arial" w:cs="Arial"/>
          <w:sz w:val="22"/>
          <w:szCs w:val="22"/>
        </w:rPr>
        <w:t>.</w:t>
      </w:r>
      <w:r w:rsidR="00467340" w:rsidRPr="00F00176">
        <w:rPr>
          <w:rFonts w:ascii="Arial" w:hAnsi="Arial" w:cs="Arial"/>
          <w:sz w:val="22"/>
          <w:szCs w:val="22"/>
        </w:rPr>
        <w:t xml:space="preserve"> </w:t>
      </w:r>
      <w:r w:rsidR="00A11B85" w:rsidRPr="00F00176">
        <w:rPr>
          <w:rFonts w:ascii="Arial" w:hAnsi="Arial" w:cs="Arial"/>
          <w:sz w:val="22"/>
          <w:szCs w:val="22"/>
        </w:rPr>
        <w:t xml:space="preserve">All measures resulted in heating </w:t>
      </w:r>
      <w:r w:rsidR="00A11B85" w:rsidRPr="00F00176">
        <w:rPr>
          <w:rFonts w:ascii="Arial" w:hAnsi="Arial" w:cs="Arial"/>
          <w:sz w:val="22"/>
          <w:szCs w:val="22"/>
        </w:rPr>
        <w:lastRenderedPageBreak/>
        <w:t>energy savings except the exclusion of lighting as a result of the loss of passive heating provided by the lighting fixtures. Despite the 64% reduction in electricity savings from the exclud</w:t>
      </w:r>
      <w:r w:rsidR="00754381">
        <w:rPr>
          <w:rFonts w:ascii="Arial" w:hAnsi="Arial" w:cs="Arial"/>
          <w:sz w:val="22"/>
          <w:szCs w:val="22"/>
        </w:rPr>
        <w:t>ed</w:t>
      </w:r>
      <w:r w:rsidR="00A11B85" w:rsidRPr="00F00176">
        <w:rPr>
          <w:rFonts w:ascii="Arial" w:hAnsi="Arial" w:cs="Arial"/>
          <w:sz w:val="22"/>
          <w:szCs w:val="22"/>
        </w:rPr>
        <w:t xml:space="preserve"> lighting loads o</w:t>
      </w:r>
      <w:r w:rsidR="00467340" w:rsidRPr="00F00176">
        <w:rPr>
          <w:rFonts w:ascii="Arial" w:hAnsi="Arial" w:cs="Arial"/>
          <w:sz w:val="22"/>
          <w:szCs w:val="22"/>
        </w:rPr>
        <w:t>nly 6% EUI reduction was achieved</w:t>
      </w:r>
      <w:r w:rsidR="00A11B85" w:rsidRPr="00F00176">
        <w:rPr>
          <w:rFonts w:ascii="Arial" w:hAnsi="Arial" w:cs="Arial"/>
          <w:sz w:val="22"/>
          <w:szCs w:val="22"/>
        </w:rPr>
        <w:t>.</w:t>
      </w:r>
    </w:p>
    <w:p w14:paraId="013F40F8" w14:textId="02D12EA8" w:rsidR="00F666CC" w:rsidRPr="00F00176" w:rsidRDefault="00A11B85" w:rsidP="00C02F4A">
      <w:pPr>
        <w:spacing w:before="160" w:after="160" w:line="276" w:lineRule="auto"/>
        <w:jc w:val="both"/>
        <w:rPr>
          <w:rFonts w:ascii="Arial" w:hAnsi="Arial" w:cs="Arial"/>
          <w:sz w:val="22"/>
          <w:szCs w:val="22"/>
        </w:rPr>
      </w:pPr>
      <w:r w:rsidRPr="00F00176">
        <w:rPr>
          <w:rFonts w:ascii="Arial" w:hAnsi="Arial" w:cs="Arial"/>
          <w:sz w:val="22"/>
          <w:szCs w:val="22"/>
        </w:rPr>
        <w:t xml:space="preserve">The parametric analysis shows that the building’s energy consumption is weather driven and internal loads have negligible effect on annual consumption. </w:t>
      </w:r>
      <w:r w:rsidR="00754381">
        <w:rPr>
          <w:rFonts w:ascii="Arial" w:hAnsi="Arial" w:cs="Arial"/>
          <w:sz w:val="22"/>
          <w:szCs w:val="22"/>
        </w:rPr>
        <w:t>Reduction</w:t>
      </w:r>
      <w:r w:rsidR="00867327" w:rsidRPr="00F00176">
        <w:rPr>
          <w:rFonts w:ascii="Arial" w:hAnsi="Arial" w:cs="Arial"/>
          <w:sz w:val="22"/>
          <w:szCs w:val="22"/>
        </w:rPr>
        <w:t xml:space="preserve"> </w:t>
      </w:r>
      <w:r w:rsidR="00754381">
        <w:rPr>
          <w:rFonts w:ascii="Arial" w:hAnsi="Arial" w:cs="Arial"/>
          <w:sz w:val="22"/>
          <w:szCs w:val="22"/>
        </w:rPr>
        <w:t>of</w:t>
      </w:r>
      <w:r w:rsidR="00867327" w:rsidRPr="00F00176">
        <w:rPr>
          <w:rFonts w:ascii="Arial" w:hAnsi="Arial" w:cs="Arial"/>
          <w:sz w:val="22"/>
          <w:szCs w:val="22"/>
        </w:rPr>
        <w:t xml:space="preserve"> window surface area or inclusion of shading systems could reduce solar gain</w:t>
      </w:r>
      <w:r w:rsidR="00754381">
        <w:rPr>
          <w:rFonts w:ascii="Arial" w:hAnsi="Arial" w:cs="Arial"/>
          <w:sz w:val="22"/>
          <w:szCs w:val="22"/>
        </w:rPr>
        <w:t>s</w:t>
      </w:r>
      <w:r w:rsidR="00867327" w:rsidRPr="00F00176">
        <w:rPr>
          <w:rFonts w:ascii="Arial" w:hAnsi="Arial" w:cs="Arial"/>
          <w:sz w:val="22"/>
          <w:szCs w:val="22"/>
        </w:rPr>
        <w:t xml:space="preserve">. </w:t>
      </w:r>
      <w:r w:rsidRPr="00F00176">
        <w:rPr>
          <w:rFonts w:ascii="Arial" w:hAnsi="Arial" w:cs="Arial"/>
          <w:sz w:val="22"/>
          <w:szCs w:val="22"/>
        </w:rPr>
        <w:t>Also, i</w:t>
      </w:r>
      <w:r w:rsidR="00867327" w:rsidRPr="00F00176">
        <w:rPr>
          <w:rFonts w:ascii="Arial" w:hAnsi="Arial" w:cs="Arial"/>
          <w:sz w:val="22"/>
          <w:szCs w:val="22"/>
        </w:rPr>
        <w:t>m</w:t>
      </w:r>
      <w:r w:rsidRPr="00F00176">
        <w:rPr>
          <w:rFonts w:ascii="Arial" w:hAnsi="Arial" w:cs="Arial"/>
          <w:sz w:val="22"/>
          <w:szCs w:val="22"/>
        </w:rPr>
        <w:t xml:space="preserve">proved envelope insulation </w:t>
      </w:r>
      <w:r w:rsidR="00867327" w:rsidRPr="00F00176">
        <w:rPr>
          <w:rFonts w:ascii="Arial" w:hAnsi="Arial" w:cs="Arial"/>
          <w:sz w:val="22"/>
          <w:szCs w:val="22"/>
        </w:rPr>
        <w:t xml:space="preserve">could drive up the cooling load in </w:t>
      </w:r>
      <w:r w:rsidR="00754381">
        <w:rPr>
          <w:rFonts w:ascii="Arial" w:hAnsi="Arial" w:cs="Arial"/>
          <w:sz w:val="22"/>
          <w:szCs w:val="22"/>
        </w:rPr>
        <w:t>warmer periods</w:t>
      </w:r>
      <w:r w:rsidR="00867327" w:rsidRPr="00F00176">
        <w:rPr>
          <w:rFonts w:ascii="Arial" w:hAnsi="Arial" w:cs="Arial"/>
          <w:sz w:val="22"/>
          <w:szCs w:val="22"/>
        </w:rPr>
        <w:t>. Manually or automatically controlled windows could be opened to offset the cooling and ventilation loads when the outside air temperature is conducive for such application.</w:t>
      </w:r>
    </w:p>
    <w:p w14:paraId="0C6E58A8" w14:textId="4A941443" w:rsidR="00F85710" w:rsidRPr="00F00176" w:rsidRDefault="00F00176" w:rsidP="00C02F4A">
      <w:pPr>
        <w:spacing w:after="16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00176">
        <w:rPr>
          <w:rFonts w:ascii="Arial" w:hAnsi="Arial" w:cs="Arial"/>
          <w:b/>
          <w:bCs/>
          <w:sz w:val="22"/>
          <w:szCs w:val="22"/>
        </w:rPr>
        <w:t>REFERENCES</w:t>
      </w:r>
    </w:p>
    <w:p w14:paraId="501F5594" w14:textId="435EA6D5" w:rsidR="00F666CC" w:rsidRPr="00F00176" w:rsidRDefault="00F666CC" w:rsidP="00C02F4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Pr="00F00176">
          <w:rPr>
            <w:rStyle w:val="Hyperlink"/>
            <w:rFonts w:ascii="Arial" w:eastAsiaTheme="minorHAnsi" w:hAnsi="Arial" w:cs="Arial"/>
            <w:sz w:val="22"/>
            <w:szCs w:val="22"/>
          </w:rPr>
          <w:t>https://www.energyplus.net/weather-location/north_and_central_america_wmo_region_4/USA/IL/USA_IL_Chicago-Midway.AP.725340_TMY3</w:t>
        </w:r>
      </w:hyperlink>
    </w:p>
    <w:p w14:paraId="41D6FA8B" w14:textId="0C1CC530" w:rsidR="00200E73" w:rsidRPr="00F00176" w:rsidRDefault="00200E73" w:rsidP="00C02F4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00176">
        <w:rPr>
          <w:rFonts w:ascii="Arial" w:hAnsi="Arial" w:cs="Arial"/>
          <w:color w:val="000000"/>
          <w:sz w:val="22"/>
          <w:szCs w:val="22"/>
        </w:rPr>
        <w:t>Deru</w:t>
      </w:r>
      <w:proofErr w:type="spellEnd"/>
      <w:r w:rsidRPr="00F00176">
        <w:rPr>
          <w:rFonts w:ascii="Arial" w:hAnsi="Arial" w:cs="Arial"/>
          <w:color w:val="000000"/>
          <w:sz w:val="22"/>
          <w:szCs w:val="22"/>
        </w:rPr>
        <w:t xml:space="preserve">, M., P. </w:t>
      </w:r>
      <w:proofErr w:type="spellStart"/>
      <w:r w:rsidRPr="00F00176">
        <w:rPr>
          <w:rFonts w:ascii="Arial" w:hAnsi="Arial" w:cs="Arial"/>
          <w:color w:val="000000"/>
          <w:sz w:val="22"/>
          <w:szCs w:val="22"/>
        </w:rPr>
        <w:t>Torcellini</w:t>
      </w:r>
      <w:proofErr w:type="spellEnd"/>
      <w:r w:rsidRPr="00F00176">
        <w:rPr>
          <w:rFonts w:ascii="Arial" w:hAnsi="Arial" w:cs="Arial"/>
          <w:color w:val="000000"/>
          <w:sz w:val="22"/>
          <w:szCs w:val="22"/>
        </w:rPr>
        <w:t xml:space="preserve">, and S. </w:t>
      </w:r>
      <w:proofErr w:type="spellStart"/>
      <w:r w:rsidRPr="00F00176">
        <w:rPr>
          <w:rFonts w:ascii="Arial" w:hAnsi="Arial" w:cs="Arial"/>
          <w:color w:val="000000"/>
          <w:sz w:val="22"/>
          <w:szCs w:val="22"/>
        </w:rPr>
        <w:t>Pless</w:t>
      </w:r>
      <w:proofErr w:type="spellEnd"/>
      <w:r w:rsidRPr="00F00176">
        <w:rPr>
          <w:rFonts w:ascii="Arial" w:hAnsi="Arial" w:cs="Arial"/>
          <w:color w:val="000000"/>
          <w:sz w:val="22"/>
          <w:szCs w:val="22"/>
        </w:rPr>
        <w:t xml:space="preserve">. 2005a. Energy design and performance analysis of the </w:t>
      </w:r>
      <w:proofErr w:type="spellStart"/>
      <w:r w:rsidRPr="00F00176">
        <w:rPr>
          <w:rFonts w:ascii="Arial" w:hAnsi="Arial" w:cs="Arial"/>
          <w:color w:val="000000"/>
          <w:sz w:val="22"/>
          <w:szCs w:val="22"/>
        </w:rPr>
        <w:t>BigHorn</w:t>
      </w:r>
      <w:proofErr w:type="spellEnd"/>
      <w:r w:rsidRPr="00F00176">
        <w:rPr>
          <w:rFonts w:ascii="Arial" w:hAnsi="Arial" w:cs="Arial"/>
          <w:color w:val="000000"/>
          <w:sz w:val="22"/>
          <w:szCs w:val="22"/>
        </w:rPr>
        <w:t xml:space="preserve"> Home Improvement Center. NREL Report No. TP-550-34930. National Renewable Energy Laboratory, Golden, CO. </w:t>
      </w:r>
      <w:hyperlink r:id="rId8" w:history="1">
        <w:r w:rsidRPr="00F00176">
          <w:rPr>
            <w:rStyle w:val="Hyperlink"/>
            <w:rFonts w:ascii="Arial" w:hAnsi="Arial" w:cs="Arial"/>
            <w:color w:val="0563C1"/>
            <w:sz w:val="22"/>
            <w:szCs w:val="22"/>
          </w:rPr>
          <w:t>www</w:t>
        </w:r>
        <w:r w:rsidRPr="00F00176">
          <w:rPr>
            <w:rStyle w:val="Hyperlink"/>
            <w:rFonts w:ascii="Arial" w:hAnsi="Arial" w:cs="Arial"/>
            <w:color w:val="0563C1"/>
            <w:sz w:val="22"/>
            <w:szCs w:val="22"/>
          </w:rPr>
          <w:t>.</w:t>
        </w:r>
        <w:r w:rsidRPr="00F00176">
          <w:rPr>
            <w:rStyle w:val="Hyperlink"/>
            <w:rFonts w:ascii="Arial" w:hAnsi="Arial" w:cs="Arial"/>
            <w:color w:val="0563C1"/>
            <w:sz w:val="22"/>
            <w:szCs w:val="22"/>
          </w:rPr>
          <w:t>nrel.gov/docs/fy05osti/34930.pdf</w:t>
        </w:r>
      </w:hyperlink>
      <w:r w:rsidRPr="00F00176">
        <w:rPr>
          <w:rFonts w:ascii="Arial" w:hAnsi="Arial" w:cs="Arial"/>
          <w:color w:val="000000"/>
          <w:sz w:val="22"/>
          <w:szCs w:val="22"/>
        </w:rPr>
        <w:t>.</w:t>
      </w:r>
    </w:p>
    <w:p w14:paraId="46C57816" w14:textId="387BE26E" w:rsidR="00A11B85" w:rsidRPr="00F00176" w:rsidRDefault="00A11B85" w:rsidP="00C02F4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00176">
        <w:rPr>
          <w:rFonts w:ascii="Arial" w:hAnsi="Arial" w:cs="Arial"/>
          <w:color w:val="000000"/>
          <w:sz w:val="22"/>
          <w:szCs w:val="22"/>
        </w:rPr>
        <w:t>https://www.phius.org/phius-2015-new-passive-building-standard-summary</w:t>
      </w:r>
    </w:p>
    <w:p w14:paraId="7E5EA7FA" w14:textId="39996F56" w:rsidR="00F85710" w:rsidRPr="00F00176" w:rsidRDefault="00F85710" w:rsidP="00F001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F85710" w:rsidRPr="00F0017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C0CF7" w14:textId="77777777" w:rsidR="00A65BDD" w:rsidRDefault="00A65BDD" w:rsidP="007E3B8F">
      <w:r>
        <w:separator/>
      </w:r>
    </w:p>
  </w:endnote>
  <w:endnote w:type="continuationSeparator" w:id="0">
    <w:p w14:paraId="554CFFF7" w14:textId="77777777" w:rsidR="00A65BDD" w:rsidRDefault="00A65BDD" w:rsidP="007E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6592326"/>
      <w:docPartObj>
        <w:docPartGallery w:val="Page Numbers (Bottom of Page)"/>
        <w:docPartUnique/>
      </w:docPartObj>
    </w:sdtPr>
    <w:sdtContent>
      <w:p w14:paraId="2864CBF6" w14:textId="729B8912" w:rsidR="007E3B8F" w:rsidRDefault="007E3B8F" w:rsidP="001D75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F7C59C" w14:textId="77777777" w:rsidR="007E3B8F" w:rsidRDefault="007E3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705183"/>
      <w:docPartObj>
        <w:docPartGallery w:val="Page Numbers (Bottom of Page)"/>
        <w:docPartUnique/>
      </w:docPartObj>
    </w:sdtPr>
    <w:sdtContent>
      <w:p w14:paraId="6B63F039" w14:textId="48FFB48B" w:rsidR="007E3B8F" w:rsidRDefault="007E3B8F" w:rsidP="001D75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6E6D4D" w14:textId="77777777" w:rsidR="007E3B8F" w:rsidRDefault="007E3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25F6F" w14:textId="77777777" w:rsidR="00A65BDD" w:rsidRDefault="00A65BDD" w:rsidP="007E3B8F">
      <w:r>
        <w:separator/>
      </w:r>
    </w:p>
  </w:footnote>
  <w:footnote w:type="continuationSeparator" w:id="0">
    <w:p w14:paraId="2094058D" w14:textId="77777777" w:rsidR="00A65BDD" w:rsidRDefault="00A65BDD" w:rsidP="007E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70B8"/>
    <w:multiLevelType w:val="multilevel"/>
    <w:tmpl w:val="2364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F19B6"/>
    <w:multiLevelType w:val="multilevel"/>
    <w:tmpl w:val="1E68C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773C1"/>
    <w:multiLevelType w:val="hybridMultilevel"/>
    <w:tmpl w:val="2A2434CE"/>
    <w:lvl w:ilvl="0" w:tplc="0D942C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7C"/>
    <w:rsid w:val="000A1C65"/>
    <w:rsid w:val="000F23A1"/>
    <w:rsid w:val="00200E73"/>
    <w:rsid w:val="002A0FB9"/>
    <w:rsid w:val="00446BF7"/>
    <w:rsid w:val="00467340"/>
    <w:rsid w:val="004A7175"/>
    <w:rsid w:val="004B5C43"/>
    <w:rsid w:val="004D60D1"/>
    <w:rsid w:val="00546705"/>
    <w:rsid w:val="005476B7"/>
    <w:rsid w:val="005C40DF"/>
    <w:rsid w:val="00700F7C"/>
    <w:rsid w:val="00754381"/>
    <w:rsid w:val="00780936"/>
    <w:rsid w:val="007C75D2"/>
    <w:rsid w:val="007E3B8F"/>
    <w:rsid w:val="007F088C"/>
    <w:rsid w:val="008062B9"/>
    <w:rsid w:val="00867327"/>
    <w:rsid w:val="00A11B85"/>
    <w:rsid w:val="00A65BDD"/>
    <w:rsid w:val="00C02F4A"/>
    <w:rsid w:val="00C33C6B"/>
    <w:rsid w:val="00C735DE"/>
    <w:rsid w:val="00D92070"/>
    <w:rsid w:val="00F00176"/>
    <w:rsid w:val="00F23263"/>
    <w:rsid w:val="00F666CC"/>
    <w:rsid w:val="00F81842"/>
    <w:rsid w:val="00F8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4BF5"/>
  <w15:chartTrackingRefBased/>
  <w15:docId w15:val="{68AF0B95-B3EE-434B-B135-7D981BCC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0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11B8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E3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B8F"/>
  </w:style>
  <w:style w:type="character" w:styleId="PageNumber">
    <w:name w:val="page number"/>
    <w:basedOn w:val="DefaultParagraphFont"/>
    <w:uiPriority w:val="99"/>
    <w:semiHidden/>
    <w:unhideWhenUsed/>
    <w:rsid w:val="007E3B8F"/>
  </w:style>
  <w:style w:type="paragraph" w:styleId="BalloonText">
    <w:name w:val="Balloon Text"/>
    <w:basedOn w:val="Normal"/>
    <w:link w:val="BalloonTextChar"/>
    <w:uiPriority w:val="99"/>
    <w:semiHidden/>
    <w:unhideWhenUsed/>
    <w:rsid w:val="005C40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el.gov/docs/fy05osti/3493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ergyplus.net/weather-location/north_and_central_america_wmo_region_4/USA/IL/USA_IL_Chicago-Midway.AP.725340_TMY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Nweye, Kingsley</dc:creator>
  <cp:keywords/>
  <dc:description/>
  <cp:lastModifiedBy>Nweye, Kingsley</cp:lastModifiedBy>
  <cp:revision>3</cp:revision>
  <cp:lastPrinted>2020-10-05T14:22:00Z</cp:lastPrinted>
  <dcterms:created xsi:type="dcterms:W3CDTF">2020-10-05T14:22:00Z</dcterms:created>
  <dcterms:modified xsi:type="dcterms:W3CDTF">2020-10-05T14:32:00Z</dcterms:modified>
</cp:coreProperties>
</file>