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DB794C0" w:rsidR="00531FBF" w:rsidRPr="00B7788F" w:rsidRDefault="00FA45D4" w:rsidP="00B7788F">
            <w:pPr>
              <w:contextualSpacing/>
              <w:jc w:val="center"/>
              <w:rPr>
                <w:rFonts w:eastAsia="Times New Roman" w:cstheme="minorHAnsi"/>
                <w:b/>
                <w:bCs/>
                <w:sz w:val="22"/>
                <w:szCs w:val="22"/>
              </w:rPr>
            </w:pPr>
            <w:r>
              <w:rPr>
                <w:rFonts w:eastAsia="Times New Roman" w:cstheme="minorHAnsi"/>
                <w:b/>
                <w:bCs/>
                <w:sz w:val="22"/>
                <w:szCs w:val="22"/>
              </w:rPr>
              <w:t>June 18, 2026</w:t>
            </w:r>
          </w:p>
        </w:tc>
        <w:tc>
          <w:tcPr>
            <w:tcW w:w="2338" w:type="dxa"/>
            <w:tcMar>
              <w:left w:w="115" w:type="dxa"/>
              <w:right w:w="115" w:type="dxa"/>
            </w:tcMar>
          </w:tcPr>
          <w:p w14:paraId="07699096" w14:textId="10323D5C" w:rsidR="00531FBF" w:rsidRPr="00B7788F" w:rsidRDefault="00FA45D4" w:rsidP="00B7788F">
            <w:pPr>
              <w:contextualSpacing/>
              <w:jc w:val="center"/>
              <w:rPr>
                <w:rFonts w:eastAsia="Times New Roman" w:cstheme="minorHAnsi"/>
                <w:b/>
                <w:bCs/>
                <w:sz w:val="22"/>
                <w:szCs w:val="22"/>
              </w:rPr>
            </w:pPr>
            <w:r>
              <w:rPr>
                <w:rFonts w:eastAsia="Times New Roman" w:cstheme="minorHAnsi"/>
                <w:b/>
                <w:bCs/>
                <w:sz w:val="22"/>
                <w:szCs w:val="22"/>
              </w:rPr>
              <w:t>Alex Wyatt</w:t>
            </w:r>
          </w:p>
        </w:tc>
        <w:tc>
          <w:tcPr>
            <w:tcW w:w="2338" w:type="dxa"/>
            <w:tcMar>
              <w:left w:w="115" w:type="dxa"/>
              <w:right w:w="115" w:type="dxa"/>
            </w:tcMar>
          </w:tcPr>
          <w:p w14:paraId="77DC76FF" w14:textId="06BF2028" w:rsidR="00C32F3D" w:rsidRPr="00B7788F" w:rsidRDefault="00FA45D4" w:rsidP="00B7788F">
            <w:pPr>
              <w:contextualSpacing/>
              <w:jc w:val="center"/>
              <w:rPr>
                <w:rFonts w:eastAsia="Times New Roman" w:cstheme="minorHAnsi"/>
                <w:b/>
                <w:bCs/>
                <w:sz w:val="22"/>
                <w:szCs w:val="22"/>
              </w:rPr>
            </w:pPr>
            <w:r>
              <w:rPr>
                <w:rFonts w:eastAsia="Times New Roman" w:cstheme="minorHAnsi"/>
                <w:b/>
                <w:bCs/>
                <w:sz w:val="22"/>
                <w:szCs w:val="22"/>
              </w:rPr>
              <w:t>Initial Release</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F393E0B" w:rsidR="00485402" w:rsidRPr="00B7788F" w:rsidRDefault="00FA45D4" w:rsidP="00D47759">
      <w:pPr>
        <w:contextualSpacing/>
        <w:rPr>
          <w:rFonts w:cstheme="minorHAnsi"/>
          <w:sz w:val="22"/>
          <w:szCs w:val="22"/>
        </w:rPr>
      </w:pPr>
      <w:r w:rsidRPr="00FA45D4">
        <w:rPr>
          <w:rFonts w:cstheme="minorHAnsi" w:hint="eastAsia"/>
          <w:sz w:val="22"/>
          <w:szCs w:val="22"/>
        </w:rPr>
        <w:t>Alex Wyatt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1CDBAD74" w:rsidR="00C32F3D" w:rsidRDefault="00FA45D4" w:rsidP="00D47759">
      <w:pPr>
        <w:contextualSpacing/>
        <w:rPr>
          <w:rFonts w:eastAsia="Times New Roman"/>
          <w:sz w:val="22"/>
          <w:szCs w:val="22"/>
        </w:rPr>
      </w:pPr>
      <w:r>
        <w:rPr>
          <w:rFonts w:eastAsia="Times New Roman"/>
          <w:sz w:val="22"/>
          <w:szCs w:val="22"/>
        </w:rPr>
        <w:t>To secure Artemis Financial’s application, two cryptographic standards are required: SHA-256 for data transmission integrity and AES-256 for resting data confidentiality.</w:t>
      </w:r>
    </w:p>
    <w:p w14:paraId="5AE4A136" w14:textId="77777777" w:rsidR="00FA45D4" w:rsidRDefault="00FA45D4" w:rsidP="00D47759">
      <w:pPr>
        <w:contextualSpacing/>
        <w:rPr>
          <w:rFonts w:eastAsia="Times New Roman"/>
          <w:sz w:val="22"/>
          <w:szCs w:val="22"/>
        </w:rPr>
      </w:pPr>
    </w:p>
    <w:p w14:paraId="545DF5FF" w14:textId="4FA31130" w:rsidR="00FA45D4" w:rsidRDefault="00FA45D4" w:rsidP="00D47759">
      <w:pPr>
        <w:contextualSpacing/>
        <w:rPr>
          <w:rFonts w:eastAsia="Times New Roman"/>
          <w:sz w:val="22"/>
          <w:szCs w:val="22"/>
        </w:rPr>
      </w:pPr>
      <w:r>
        <w:rPr>
          <w:rFonts w:eastAsia="Times New Roman"/>
          <w:sz w:val="22"/>
          <w:szCs w:val="22"/>
        </w:rPr>
        <w:t xml:space="preserve">For the file verification step requested by the client, I </w:t>
      </w:r>
      <w:r w:rsidRPr="00FA45D4">
        <w:rPr>
          <w:rFonts w:eastAsia="Times New Roman"/>
          <w:sz w:val="22"/>
          <w:szCs w:val="22"/>
        </w:rPr>
        <w:t>implemented the SHA-256 one-way hash function. SHA-256 generates a fixed-length 256-bit checksum of the transmitted data. If a single byte is altered during transmission, the hash completely changes. Because 256-bit outputs create an astronomical number of possible combinations, collision attacks are computationally impossible on modern hardware.</w:t>
      </w:r>
    </w:p>
    <w:p w14:paraId="031B5E8A" w14:textId="77777777" w:rsidR="00FA45D4" w:rsidRDefault="00FA45D4" w:rsidP="00D47759">
      <w:pPr>
        <w:contextualSpacing/>
        <w:rPr>
          <w:rFonts w:eastAsia="Times New Roman"/>
          <w:sz w:val="22"/>
          <w:szCs w:val="22"/>
        </w:rPr>
      </w:pPr>
    </w:p>
    <w:p w14:paraId="3284723A" w14:textId="7285C0CA" w:rsidR="00FA45D4" w:rsidRPr="00B7788F" w:rsidRDefault="00FA45D4" w:rsidP="00D47759">
      <w:pPr>
        <w:contextualSpacing/>
        <w:rPr>
          <w:rFonts w:eastAsia="Times New Roman"/>
          <w:sz w:val="22"/>
          <w:szCs w:val="22"/>
        </w:rPr>
      </w:pPr>
      <w:r w:rsidRPr="00FA45D4">
        <w:rPr>
          <w:rFonts w:eastAsia="Times New Roman"/>
          <w:sz w:val="22"/>
          <w:szCs w:val="22"/>
        </w:rPr>
        <w:t xml:space="preserve">For general data encryption, the Advanced Encryption Standard with a 256-bit key length is the recommended cipher. Historically, systems relied on the Data Encryption Standard using a 56-bit key. As hardware </w:t>
      </w:r>
      <w:proofErr w:type="gramStart"/>
      <w:r w:rsidRPr="00FA45D4">
        <w:rPr>
          <w:rFonts w:eastAsia="Times New Roman"/>
          <w:sz w:val="22"/>
          <w:szCs w:val="22"/>
        </w:rPr>
        <w:t>scaled</w:t>
      </w:r>
      <w:proofErr w:type="gramEnd"/>
      <w:r w:rsidRPr="00FA45D4">
        <w:rPr>
          <w:rFonts w:eastAsia="Times New Roman"/>
          <w:sz w:val="22"/>
          <w:szCs w:val="22"/>
        </w:rPr>
        <w:t xml:space="preserve">, DES became easily broken via brute-force attacks. The National Institute of Standards and Technology adopted AES to future-proof against modern computing power. AES is a symmetric cipher, meaning the exact same key is used to lock and unlock the data. To ensure this symmetry remains secure, the system must utilize Java’s </w:t>
      </w:r>
      <w:proofErr w:type="spellStart"/>
      <w:r w:rsidRPr="00FA45D4">
        <w:rPr>
          <w:rFonts w:eastAsia="Times New Roman"/>
          <w:sz w:val="22"/>
          <w:szCs w:val="22"/>
        </w:rPr>
        <w:t>SecureRandom</w:t>
      </w:r>
      <w:proofErr w:type="spellEnd"/>
      <w:r w:rsidRPr="00FA45D4">
        <w:rPr>
          <w:rFonts w:eastAsia="Times New Roman"/>
          <w:sz w:val="22"/>
          <w:szCs w:val="22"/>
        </w:rPr>
        <w:t xml:space="preserve"> class, which pulls true entropy directly from the host operating system's hardware to generate unpredictable keys and Initialization Vectors.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78A53FF7" w:rsidR="002778D5" w:rsidRDefault="00DA5ECB" w:rsidP="00D47759">
      <w:pPr>
        <w:contextualSpacing/>
        <w:rPr>
          <w:rFonts w:eastAsia="Times New Roman" w:cstheme="minorHAnsi"/>
          <w:sz w:val="22"/>
          <w:szCs w:val="22"/>
        </w:rPr>
      </w:pPr>
      <w:r w:rsidRPr="00DA5ECB">
        <w:rPr>
          <w:rFonts w:eastAsia="Times New Roman" w:cstheme="minorHAnsi"/>
          <w:sz w:val="22"/>
          <w:szCs w:val="22"/>
        </w:rPr>
        <w:drawing>
          <wp:inline distT="0" distB="0" distL="0" distR="0" wp14:anchorId="7693ECC6" wp14:editId="0067CE8B">
            <wp:extent cx="5943600" cy="2265680"/>
            <wp:effectExtent l="0" t="0" r="0" b="1270"/>
            <wp:docPr id="2161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6527" name=""/>
                    <pic:cNvPicPr/>
                  </pic:nvPicPr>
                  <pic:blipFill>
                    <a:blip r:embed="rId13"/>
                    <a:stretch>
                      <a:fillRect/>
                    </a:stretch>
                  </pic:blipFill>
                  <pic:spPr>
                    <a:xfrm>
                      <a:off x="0" y="0"/>
                      <a:ext cx="5943600" cy="226568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B242CF1" w:rsidR="00DB5652" w:rsidRDefault="00CD761E" w:rsidP="00D47759">
      <w:pPr>
        <w:contextualSpacing/>
        <w:rPr>
          <w:rFonts w:cstheme="minorHAnsi"/>
          <w:sz w:val="22"/>
          <w:szCs w:val="22"/>
        </w:rPr>
      </w:pPr>
      <w:r w:rsidRPr="00CD761E">
        <w:rPr>
          <w:rFonts w:cstheme="minorHAnsi"/>
          <w:sz w:val="22"/>
          <w:szCs w:val="22"/>
        </w:rPr>
        <w:lastRenderedPageBreak/>
        <w:drawing>
          <wp:inline distT="0" distB="0" distL="0" distR="0" wp14:anchorId="65DD11F5" wp14:editId="05C705B7">
            <wp:extent cx="5943600" cy="1625600"/>
            <wp:effectExtent l="0" t="0" r="0" b="0"/>
            <wp:docPr id="20540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04820" name=""/>
                    <pic:cNvPicPr/>
                  </pic:nvPicPr>
                  <pic:blipFill>
                    <a:blip r:embed="rId14"/>
                    <a:stretch>
                      <a:fillRect/>
                    </a:stretch>
                  </pic:blipFill>
                  <pic:spPr>
                    <a:xfrm>
                      <a:off x="0" y="0"/>
                      <a:ext cx="5943600" cy="1625600"/>
                    </a:xfrm>
                    <a:prstGeom prst="rect">
                      <a:avLst/>
                    </a:prstGeom>
                  </pic:spPr>
                </pic:pic>
              </a:graphicData>
            </a:graphic>
          </wp:inline>
        </w:drawing>
      </w:r>
    </w:p>
    <w:p w14:paraId="4C6E2F1C" w14:textId="77777777" w:rsidR="00CD761E" w:rsidRPr="00B7788F" w:rsidRDefault="00CD761E"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2471A96E" w:rsidR="00DB5652" w:rsidRDefault="00CD761E" w:rsidP="00D47759">
      <w:pPr>
        <w:contextualSpacing/>
        <w:rPr>
          <w:rFonts w:cstheme="minorHAnsi"/>
          <w:sz w:val="22"/>
          <w:szCs w:val="22"/>
        </w:rPr>
      </w:pPr>
      <w:r w:rsidRPr="00CD761E">
        <w:rPr>
          <w:rFonts w:eastAsia="Times New Roman" w:cstheme="minorHAnsi"/>
          <w:sz w:val="22"/>
          <w:szCs w:val="22"/>
        </w:rPr>
        <w:drawing>
          <wp:inline distT="0" distB="0" distL="0" distR="0" wp14:anchorId="377D9590" wp14:editId="07BE8C4B">
            <wp:extent cx="5943600" cy="370840"/>
            <wp:effectExtent l="0" t="0" r="0" b="0"/>
            <wp:docPr id="6070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5975" name=""/>
                    <pic:cNvPicPr/>
                  </pic:nvPicPr>
                  <pic:blipFill>
                    <a:blip r:embed="rId15"/>
                    <a:stretch>
                      <a:fillRect/>
                    </a:stretch>
                  </pic:blipFill>
                  <pic:spPr>
                    <a:xfrm>
                      <a:off x="0" y="0"/>
                      <a:ext cx="5943600" cy="370840"/>
                    </a:xfrm>
                    <a:prstGeom prst="rect">
                      <a:avLst/>
                    </a:prstGeom>
                  </pic:spPr>
                </pic:pic>
              </a:graphicData>
            </a:graphic>
          </wp:inline>
        </w:drawing>
      </w:r>
    </w:p>
    <w:p w14:paraId="35F70C71" w14:textId="77777777" w:rsidR="00CD761E" w:rsidRPr="00B7788F" w:rsidRDefault="00CD761E"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1BC0A3ED" w14:textId="2F7A572D" w:rsidR="005828C0" w:rsidRDefault="005828C0" w:rsidP="00D47759">
      <w:pPr>
        <w:contextualSpacing/>
        <w:rPr>
          <w:rFonts w:eastAsia="Times New Roman" w:cstheme="minorHAnsi"/>
          <w:sz w:val="22"/>
          <w:szCs w:val="22"/>
        </w:rPr>
      </w:pPr>
      <w:r w:rsidRPr="005828C0">
        <w:rPr>
          <w:rFonts w:eastAsia="Times New Roman" w:cstheme="minorHAnsi"/>
          <w:sz w:val="22"/>
          <w:szCs w:val="22"/>
        </w:rPr>
        <w:drawing>
          <wp:inline distT="0" distB="0" distL="0" distR="0" wp14:anchorId="036F299A" wp14:editId="5A9BA62A">
            <wp:extent cx="5763429" cy="1590897"/>
            <wp:effectExtent l="0" t="0" r="8890" b="9525"/>
            <wp:docPr id="9270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3995" name=""/>
                    <pic:cNvPicPr/>
                  </pic:nvPicPr>
                  <pic:blipFill>
                    <a:blip r:embed="rId16"/>
                    <a:stretch>
                      <a:fillRect/>
                    </a:stretch>
                  </pic:blipFill>
                  <pic:spPr>
                    <a:xfrm>
                      <a:off x="0" y="0"/>
                      <a:ext cx="5763429" cy="1590897"/>
                    </a:xfrm>
                    <a:prstGeom prst="rect">
                      <a:avLst/>
                    </a:prstGeom>
                  </pic:spPr>
                </pic:pic>
              </a:graphicData>
            </a:graphic>
          </wp:inline>
        </w:drawing>
      </w:r>
    </w:p>
    <w:p w14:paraId="53708BC6" w14:textId="77777777" w:rsidR="005828C0" w:rsidRDefault="005828C0" w:rsidP="00D47759">
      <w:pPr>
        <w:contextualSpacing/>
        <w:rPr>
          <w:rFonts w:cstheme="minorHAnsi"/>
          <w:sz w:val="22"/>
          <w:szCs w:val="22"/>
        </w:rPr>
      </w:pPr>
    </w:p>
    <w:p w14:paraId="75B70F3E" w14:textId="7F935D55" w:rsidR="00DB5652" w:rsidRDefault="005828C0" w:rsidP="00D47759">
      <w:pPr>
        <w:contextualSpacing/>
        <w:rPr>
          <w:rFonts w:cstheme="minorHAnsi"/>
          <w:sz w:val="22"/>
          <w:szCs w:val="22"/>
        </w:rPr>
      </w:pPr>
      <w:r w:rsidRPr="005828C0">
        <w:rPr>
          <w:rFonts w:eastAsia="Times New Roman" w:cstheme="minorHAnsi"/>
          <w:sz w:val="22"/>
          <w:szCs w:val="22"/>
        </w:rPr>
        <w:drawing>
          <wp:inline distT="0" distB="0" distL="0" distR="0" wp14:anchorId="22E59C5B" wp14:editId="56EADD05">
            <wp:extent cx="5943600" cy="2605405"/>
            <wp:effectExtent l="0" t="0" r="0" b="4445"/>
            <wp:docPr id="9738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4526" name=""/>
                    <pic:cNvPicPr/>
                  </pic:nvPicPr>
                  <pic:blipFill>
                    <a:blip r:embed="rId17"/>
                    <a:stretch>
                      <a:fillRect/>
                    </a:stretch>
                  </pic:blipFill>
                  <pic:spPr>
                    <a:xfrm>
                      <a:off x="0" y="0"/>
                      <a:ext cx="5943600" cy="2605405"/>
                    </a:xfrm>
                    <a:prstGeom prst="rect">
                      <a:avLst/>
                    </a:prstGeom>
                  </pic:spPr>
                </pic:pic>
              </a:graphicData>
            </a:graphic>
          </wp:inline>
        </w:drawing>
      </w:r>
    </w:p>
    <w:p w14:paraId="7D2E983D" w14:textId="77777777" w:rsidR="005828C0" w:rsidRPr="00B7788F" w:rsidRDefault="005828C0"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4772F631" w:rsidR="00E4044A" w:rsidRPr="00B7788F" w:rsidRDefault="00CD761E" w:rsidP="00D47759">
      <w:pPr>
        <w:contextualSpacing/>
        <w:rPr>
          <w:rFonts w:eastAsia="Times New Roman" w:cstheme="minorHAnsi"/>
          <w:sz w:val="22"/>
          <w:szCs w:val="22"/>
        </w:rPr>
      </w:pPr>
      <w:r w:rsidRPr="00CD761E">
        <w:rPr>
          <w:rFonts w:eastAsia="Times New Roman" w:cstheme="minorHAnsi"/>
          <w:sz w:val="22"/>
          <w:szCs w:val="22"/>
        </w:rPr>
        <w:drawing>
          <wp:inline distT="0" distB="0" distL="0" distR="0" wp14:anchorId="205B9B68" wp14:editId="18583BEE">
            <wp:extent cx="5943600" cy="1069340"/>
            <wp:effectExtent l="0" t="0" r="0" b="0"/>
            <wp:docPr id="106808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87280" name=""/>
                    <pic:cNvPicPr/>
                  </pic:nvPicPr>
                  <pic:blipFill>
                    <a:blip r:embed="rId18"/>
                    <a:stretch>
                      <a:fillRect/>
                    </a:stretch>
                  </pic:blipFill>
                  <pic:spPr>
                    <a:xfrm>
                      <a:off x="0" y="0"/>
                      <a:ext cx="5943600" cy="1069340"/>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AD3ABB3" w14:textId="7A4E8F62" w:rsidR="00FF39F1" w:rsidRPr="00FF39F1" w:rsidRDefault="00FF39F1" w:rsidP="00FF39F1">
      <w:pPr>
        <w:contextualSpacing/>
        <w:rPr>
          <w:rFonts w:eastAsia="Times New Roman"/>
          <w:sz w:val="22"/>
          <w:szCs w:val="22"/>
        </w:rPr>
      </w:pPr>
      <w:r w:rsidRPr="00FF39F1">
        <w:rPr>
          <w:rFonts w:eastAsia="Times New Roman"/>
          <w:sz w:val="22"/>
          <w:szCs w:val="22"/>
        </w:rPr>
        <w:t xml:space="preserve">Based on the Vulnerability Assessment Process Flow, this refactoring successfully addressed three specific architectural nodes. First, Cryptography was mitigated via the implementation of the </w:t>
      </w:r>
      <w:proofErr w:type="spellStart"/>
      <w:proofErr w:type="gramStart"/>
      <w:r w:rsidRPr="00FF39F1">
        <w:rPr>
          <w:rFonts w:eastAsia="Times New Roman"/>
          <w:sz w:val="22"/>
          <w:szCs w:val="22"/>
        </w:rPr>
        <w:t>java.security</w:t>
      </w:r>
      <w:proofErr w:type="gramEnd"/>
      <w:r w:rsidRPr="00FF39F1">
        <w:rPr>
          <w:rFonts w:eastAsia="Times New Roman"/>
          <w:sz w:val="22"/>
          <w:szCs w:val="22"/>
        </w:rPr>
        <w:t>.MessageDigest</w:t>
      </w:r>
      <w:proofErr w:type="spellEnd"/>
      <w:r w:rsidRPr="00FF39F1">
        <w:rPr>
          <w:rFonts w:eastAsia="Times New Roman"/>
          <w:sz w:val="22"/>
          <w:szCs w:val="22"/>
        </w:rPr>
        <w:t xml:space="preserve"> library, utilizing the SHA-256 cipher to guarantee data payload integrity through checksum verification. Second, Client/Server was secured by enforcing the HTTPS protocol across port 8443 and generating a self-signed JKS certificate to prevent unencrypted data transit and Man-in-the-Middle attacks. Finally, Code Quality was reinforced by integrating the OWASP dependency-check Maven plugin to automate static software composition analysis during the build phase.</w:t>
      </w:r>
    </w:p>
    <w:p w14:paraId="656ECFFC" w14:textId="77777777" w:rsidR="00FF39F1" w:rsidRPr="00FF39F1" w:rsidRDefault="00FF39F1" w:rsidP="00FF39F1">
      <w:pPr>
        <w:contextualSpacing/>
        <w:rPr>
          <w:rFonts w:eastAsia="Times New Roman"/>
          <w:sz w:val="22"/>
          <w:szCs w:val="22"/>
        </w:rPr>
      </w:pPr>
    </w:p>
    <w:p w14:paraId="0624AD01" w14:textId="49869E5F" w:rsidR="620D193F" w:rsidRDefault="00FF39F1" w:rsidP="00FF39F1">
      <w:pPr>
        <w:contextualSpacing/>
        <w:rPr>
          <w:rFonts w:eastAsia="Times New Roman"/>
          <w:sz w:val="22"/>
          <w:szCs w:val="22"/>
        </w:rPr>
      </w:pPr>
      <w:r w:rsidRPr="00FF39F1">
        <w:rPr>
          <w:rFonts w:eastAsia="Times New Roman"/>
          <w:sz w:val="22"/>
          <w:szCs w:val="22"/>
        </w:rPr>
        <w:t>The process for adding these security layers relies on a "shift-left" engineering mentality. Security was not treated as a final testing phase but was built directly into the transport layer, application layer, and supply chain. By replacing HTTP with HTTPS, applying one-way mathematical hashing to the data string, and forcing the compiler to check for known Common Vulnerabilities and Exposures before allowing the code to execute, the application is fundamentally hardened against external interception and compromised dependencies.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136C9B1" w14:textId="797050CB" w:rsidR="00FF39F1" w:rsidRPr="00FF39F1" w:rsidRDefault="00FF39F1" w:rsidP="00FF39F1">
      <w:pPr>
        <w:contextualSpacing/>
        <w:rPr>
          <w:rFonts w:eastAsia="Times New Roman"/>
          <w:sz w:val="22"/>
          <w:szCs w:val="22"/>
        </w:rPr>
      </w:pPr>
      <w:r w:rsidRPr="00FF39F1">
        <w:rPr>
          <w:rFonts w:eastAsia="Times New Roman"/>
          <w:sz w:val="22"/>
          <w:szCs w:val="22"/>
        </w:rPr>
        <w:t>Industry standards established by the National Institute of Standards and Technology and the OWASP</w:t>
      </w:r>
      <w:r>
        <w:rPr>
          <w:rFonts w:eastAsia="Times New Roman"/>
          <w:sz w:val="22"/>
          <w:szCs w:val="22"/>
        </w:rPr>
        <w:t xml:space="preserve"> </w:t>
      </w:r>
      <w:r w:rsidRPr="00FF39F1">
        <w:rPr>
          <w:rFonts w:eastAsia="Times New Roman"/>
          <w:sz w:val="22"/>
          <w:szCs w:val="22"/>
        </w:rPr>
        <w:t xml:space="preserve">mandate that security must be an automated, objective baseline rather than a manual afterthought. To maintain the software application’s existing security while deploying new features, </w:t>
      </w:r>
      <w:proofErr w:type="gramStart"/>
      <w:r w:rsidRPr="00FF39F1">
        <w:rPr>
          <w:rFonts w:eastAsia="Times New Roman"/>
          <w:sz w:val="22"/>
          <w:szCs w:val="22"/>
        </w:rPr>
        <w:t>industry</w:t>
      </w:r>
      <w:proofErr w:type="gramEnd"/>
      <w:r w:rsidRPr="00FF39F1">
        <w:rPr>
          <w:rFonts w:eastAsia="Times New Roman"/>
          <w:sz w:val="22"/>
          <w:szCs w:val="22"/>
        </w:rPr>
        <w:t xml:space="preserve"> best practices such as automated </w:t>
      </w:r>
      <w:proofErr w:type="spellStart"/>
      <w:r w:rsidRPr="00FF39F1">
        <w:rPr>
          <w:rFonts w:eastAsia="Times New Roman"/>
          <w:sz w:val="22"/>
          <w:szCs w:val="22"/>
        </w:rPr>
        <w:t>DevSecOps</w:t>
      </w:r>
      <w:proofErr w:type="spellEnd"/>
      <w:r w:rsidRPr="00FF39F1">
        <w:rPr>
          <w:rFonts w:eastAsia="Times New Roman"/>
          <w:sz w:val="22"/>
          <w:szCs w:val="22"/>
        </w:rPr>
        <w:t xml:space="preserve"> pipeline gates were utilized. By explicitly mapping the pom.xml to the NVD 2.0 vulnerability database, the build environment automatically filters out compromised open-source libraries. Additionally, cryptographic standards were modernized by abandoning deprecated algorithms in favor of AES-256 for encryption and SHA-256 for data verification.</w:t>
      </w:r>
    </w:p>
    <w:p w14:paraId="4DE45987" w14:textId="77777777" w:rsidR="00FF39F1" w:rsidRPr="00FF39F1" w:rsidRDefault="00FF39F1" w:rsidP="00FF39F1">
      <w:pPr>
        <w:contextualSpacing/>
        <w:rPr>
          <w:rFonts w:eastAsia="Times New Roman"/>
          <w:sz w:val="22"/>
          <w:szCs w:val="22"/>
        </w:rPr>
      </w:pPr>
    </w:p>
    <w:p w14:paraId="052C684F" w14:textId="7AC587CC" w:rsidR="00974AE3" w:rsidRPr="00B7788F" w:rsidRDefault="00FF39F1" w:rsidP="00FF39F1">
      <w:pPr>
        <w:contextualSpacing/>
        <w:rPr>
          <w:rFonts w:eastAsia="Times New Roman"/>
          <w:sz w:val="22"/>
          <w:szCs w:val="22"/>
        </w:rPr>
      </w:pPr>
      <w:r w:rsidRPr="00FF39F1">
        <w:rPr>
          <w:rFonts w:eastAsia="Times New Roman"/>
          <w:sz w:val="22"/>
          <w:szCs w:val="22"/>
        </w:rPr>
        <w:t>Applying these best practices is vital to Artemis Financial's overall corporate well-being. Because the company handles highly sensitive, individualized financial plans, it is subject to strict federal regulatory compliance frameworks. Building automated security scans into the CI/CD pipeline and enforcing TLS encryption across all web traffic prevents regulatory fines, eliminates the severe technical debt associated with patching breaches in a production environment, and guarantees the cryptographic confidentiality of client assets.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B65E" w14:textId="77777777" w:rsidR="00C61116" w:rsidRDefault="00C61116" w:rsidP="002F3F84">
      <w:r>
        <w:separator/>
      </w:r>
    </w:p>
  </w:endnote>
  <w:endnote w:type="continuationSeparator" w:id="0">
    <w:p w14:paraId="4BD45A9A" w14:textId="77777777" w:rsidR="00C61116" w:rsidRDefault="00C61116" w:rsidP="002F3F84">
      <w:r>
        <w:continuationSeparator/>
      </w:r>
    </w:p>
  </w:endnote>
  <w:endnote w:type="continuationNotice" w:id="1">
    <w:p w14:paraId="45DA0DEE" w14:textId="77777777" w:rsidR="00C61116" w:rsidRDefault="00C611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8BEB" w14:textId="77777777" w:rsidR="00C61116" w:rsidRDefault="00C61116" w:rsidP="002F3F84">
      <w:r>
        <w:separator/>
      </w:r>
    </w:p>
  </w:footnote>
  <w:footnote w:type="continuationSeparator" w:id="0">
    <w:p w14:paraId="38ADBDF2" w14:textId="77777777" w:rsidR="00C61116" w:rsidRDefault="00C61116" w:rsidP="002F3F84">
      <w:r>
        <w:continuationSeparator/>
      </w:r>
    </w:p>
  </w:footnote>
  <w:footnote w:type="continuationNotice" w:id="1">
    <w:p w14:paraId="0D6CF55C" w14:textId="77777777" w:rsidR="00C61116" w:rsidRDefault="00C611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22031107">
    <w:abstractNumId w:val="16"/>
  </w:num>
  <w:num w:numId="2" w16cid:durableId="548995909">
    <w:abstractNumId w:val="20"/>
  </w:num>
  <w:num w:numId="3" w16cid:durableId="1673948138">
    <w:abstractNumId w:val="6"/>
  </w:num>
  <w:num w:numId="4" w16cid:durableId="1575357180">
    <w:abstractNumId w:val="8"/>
  </w:num>
  <w:num w:numId="5" w16cid:durableId="113327156">
    <w:abstractNumId w:val="4"/>
  </w:num>
  <w:num w:numId="6" w16cid:durableId="980041666">
    <w:abstractNumId w:val="17"/>
  </w:num>
  <w:num w:numId="7" w16cid:durableId="252979274">
    <w:abstractNumId w:val="12"/>
    <w:lvlOverride w:ilvl="0">
      <w:lvl w:ilvl="0">
        <w:numFmt w:val="lowerLetter"/>
        <w:lvlText w:val="%1."/>
        <w:lvlJc w:val="left"/>
      </w:lvl>
    </w:lvlOverride>
  </w:num>
  <w:num w:numId="8" w16cid:durableId="926770467">
    <w:abstractNumId w:val="5"/>
  </w:num>
  <w:num w:numId="9" w16cid:durableId="578369227">
    <w:abstractNumId w:val="1"/>
    <w:lvlOverride w:ilvl="0">
      <w:lvl w:ilvl="0">
        <w:numFmt w:val="lowerLetter"/>
        <w:lvlText w:val="%1."/>
        <w:lvlJc w:val="left"/>
      </w:lvl>
    </w:lvlOverride>
  </w:num>
  <w:num w:numId="10" w16cid:durableId="1642685686">
    <w:abstractNumId w:val="0"/>
  </w:num>
  <w:num w:numId="11" w16cid:durableId="636300464">
    <w:abstractNumId w:val="3"/>
  </w:num>
  <w:num w:numId="12" w16cid:durableId="1963997456">
    <w:abstractNumId w:val="19"/>
  </w:num>
  <w:num w:numId="13" w16cid:durableId="2000032388">
    <w:abstractNumId w:val="15"/>
  </w:num>
  <w:num w:numId="14" w16cid:durableId="661852511">
    <w:abstractNumId w:val="2"/>
  </w:num>
  <w:num w:numId="15" w16cid:durableId="1308240735">
    <w:abstractNumId w:val="11"/>
  </w:num>
  <w:num w:numId="16" w16cid:durableId="2081055644">
    <w:abstractNumId w:val="9"/>
  </w:num>
  <w:num w:numId="17" w16cid:durableId="2087072470">
    <w:abstractNumId w:val="14"/>
  </w:num>
  <w:num w:numId="18" w16cid:durableId="1703507345">
    <w:abstractNumId w:val="18"/>
  </w:num>
  <w:num w:numId="19" w16cid:durableId="1420252029">
    <w:abstractNumId w:val="7"/>
  </w:num>
  <w:num w:numId="20" w16cid:durableId="398864734">
    <w:abstractNumId w:val="13"/>
  </w:num>
  <w:num w:numId="21" w16cid:durableId="258491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C1938"/>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28C0"/>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1116"/>
    <w:rsid w:val="00C67FA3"/>
    <w:rsid w:val="00CD761E"/>
    <w:rsid w:val="00CE44E9"/>
    <w:rsid w:val="00CF445D"/>
    <w:rsid w:val="00CF618A"/>
    <w:rsid w:val="00D0558B"/>
    <w:rsid w:val="00D47759"/>
    <w:rsid w:val="00DA5ECB"/>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45D4"/>
    <w:rsid w:val="00FC36E8"/>
    <w:rsid w:val="00FC47F0"/>
    <w:rsid w:val="00FD1686"/>
    <w:rsid w:val="00FD7CC8"/>
    <w:rsid w:val="00FF39F1"/>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6</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6550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Wyatt, Alexander</cp:lastModifiedBy>
  <cp:revision>52</cp:revision>
  <dcterms:created xsi:type="dcterms:W3CDTF">2022-04-20T12:43:00Z</dcterms:created>
  <dcterms:modified xsi:type="dcterms:W3CDTF">2026-06-21T18:40:00Z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