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Pr>
      <w:r>
        <w:rPr>
          <w:rFonts w:ascii="Arial" w:hAnsi="Arial"/>
          <w:b/>
          <w:color w:val="087F84"/>
          <w:sz w:val="18"/>
        </w:rPr>
        <w:t>PORTFOLIO PROJECT</w:t>
      </w:r>
    </w:p>
    <w:p>
      <w:pPr>
        <w:pStyle w:val="Title"/>
        <w:spacing w:after="120"/>
      </w:pPr>
      <w:r>
        <w:t>Customer Profile Integration Platform</w:t>
      </w:r>
    </w:p>
    <w:p>
      <w:pPr>
        <w:pStyle w:val="Subtitle"/>
        <w:spacing w:after="240"/>
      </w:pPr>
      <w:r>
        <w:t>A portfolio sample by Kingsly Bose</w:t>
      </w:r>
    </w:p>
    <w:p>
      <w:pPr>
        <w:spacing w:after="240"/>
      </w:pPr>
      <w:r>
        <w:t>A full-stack sample that connects a ReactJS customer experience to a MuleSoft API-led architecture. Requests move through Experience, Process, and mock System APIs, with RAML contracts, APIkit routing, Mule flows, and DataWeave transformations.</w:t>
      </w:r>
    </w:p>
    <w:tbl>
      <w:tblPr>
        <w:tblW w:type="auto" w:w="0"/>
        <w:jc w:val="center"/>
        <w:tblLayout w:type="fixed"/>
        <w:tblLook w:firstColumn="1" w:firstRow="1" w:lastColumn="0" w:lastRow="0" w:noHBand="0" w:noVBand="1" w:val="04A0"/>
        <w:tblBorders>
          <w:top w:val="single" w:sz="4" w:color="E2EAED"/>
          <w:left w:val="single" w:sz="4" w:color="E2EAED"/>
          <w:bottom w:val="single" w:sz="4" w:color="E2EAED"/>
          <w:right w:val="single" w:sz="4" w:color="E2EAED"/>
          <w:insideH w:val="single" w:sz="4" w:color="E2EAED"/>
          <w:insideV w:val="single" w:sz="4" w:color="E2EAED"/>
        </w:tblBorders>
      </w:tblPr>
      <w:tblGrid>
        <w:gridCol w:w="2033"/>
        <w:gridCol w:w="2033"/>
        <w:gridCol w:w="2033"/>
        <w:gridCol w:w="2033"/>
        <w:gridCol w:w="2033"/>
      </w:tblGrid>
      <w:tr>
        <w:tc>
          <w:tcPr>
            <w:tcW w:type="dxa" w:w="2030"/>
            <w:shd w:fill="E8F4F2"/>
            <w:tcMar>
              <w:top w:w="90" w:type="dxa"/>
              <w:start w:w="70" w:type="dxa"/>
              <w:bottom w:w="90" w:type="dxa"/>
              <w:end w:w="70" w:type="dxa"/>
            </w:tcMar>
          </w:tcPr>
          <w:p>
            <w:pPr>
              <w:spacing w:after="0"/>
              <w:jc w:val="center"/>
            </w:pPr>
            <w:r>
              <w:rPr>
                <w:rFonts w:ascii="Arial" w:hAnsi="Arial"/>
                <w:b/>
                <w:color w:val="087F84"/>
                <w:sz w:val="17"/>
              </w:rPr>
              <w:t>ReactJS</w:t>
            </w:r>
          </w:p>
        </w:tc>
        <w:tc>
          <w:tcPr>
            <w:tcW w:type="dxa" w:w="2030"/>
            <w:shd w:fill="F3F6F9"/>
            <w:tcMar>
              <w:top w:w="90" w:type="dxa"/>
              <w:start w:w="70" w:type="dxa"/>
              <w:bottom w:w="90" w:type="dxa"/>
              <w:end w:w="70" w:type="dxa"/>
            </w:tcMar>
          </w:tcPr>
          <w:p>
            <w:pPr>
              <w:spacing w:after="0"/>
              <w:jc w:val="center"/>
            </w:pPr>
            <w:r>
              <w:rPr>
                <w:rFonts w:ascii="Arial" w:hAnsi="Arial"/>
                <w:b/>
                <w:color w:val="087F84"/>
                <w:sz w:val="17"/>
              </w:rPr>
              <w:t>RAML 1.0</w:t>
            </w:r>
          </w:p>
        </w:tc>
        <w:tc>
          <w:tcPr>
            <w:tcW w:type="dxa" w:w="2030"/>
            <w:shd w:fill="F3F6F9"/>
            <w:tcMar>
              <w:top w:w="90" w:type="dxa"/>
              <w:start w:w="70" w:type="dxa"/>
              <w:bottom w:w="90" w:type="dxa"/>
              <w:end w:w="70" w:type="dxa"/>
            </w:tcMar>
          </w:tcPr>
          <w:p>
            <w:pPr>
              <w:spacing w:after="0"/>
              <w:jc w:val="center"/>
            </w:pPr>
            <w:r>
              <w:rPr>
                <w:rFonts w:ascii="Arial" w:hAnsi="Arial"/>
                <w:b/>
                <w:color w:val="087F84"/>
                <w:sz w:val="17"/>
              </w:rPr>
              <w:t>APIkit</w:t>
            </w:r>
          </w:p>
        </w:tc>
        <w:tc>
          <w:tcPr>
            <w:tcW w:type="dxa" w:w="2030"/>
            <w:shd w:fill="F3F6F9"/>
            <w:tcMar>
              <w:top w:w="90" w:type="dxa"/>
              <w:start w:w="70" w:type="dxa"/>
              <w:bottom w:w="90" w:type="dxa"/>
              <w:end w:w="70" w:type="dxa"/>
            </w:tcMar>
          </w:tcPr>
          <w:p>
            <w:pPr>
              <w:spacing w:after="0"/>
              <w:jc w:val="center"/>
            </w:pPr>
            <w:r>
              <w:rPr>
                <w:rFonts w:ascii="Arial" w:hAnsi="Arial"/>
                <w:b/>
                <w:color w:val="087F84"/>
                <w:sz w:val="17"/>
              </w:rPr>
              <w:t>Mule Flows</w:t>
            </w:r>
          </w:p>
        </w:tc>
        <w:tc>
          <w:tcPr>
            <w:tcW w:type="dxa" w:w="2030"/>
            <w:shd w:fill="E8F4F2"/>
            <w:tcMar>
              <w:top w:w="90" w:type="dxa"/>
              <w:start w:w="70" w:type="dxa"/>
              <w:bottom w:w="90" w:type="dxa"/>
              <w:end w:w="70" w:type="dxa"/>
            </w:tcMar>
          </w:tcPr>
          <w:p>
            <w:pPr>
              <w:spacing w:after="0"/>
              <w:jc w:val="center"/>
            </w:pPr>
            <w:r>
              <w:rPr>
                <w:rFonts w:ascii="Arial" w:hAnsi="Arial"/>
                <w:b/>
                <w:color w:val="087F84"/>
                <w:sz w:val="17"/>
              </w:rPr>
              <w:t>DataWeave</w:t>
            </w:r>
          </w:p>
        </w:tc>
      </w:tr>
    </w:tbl>
    <w:p>
      <w:pPr>
        <w:spacing w:after="20"/>
      </w:pPr>
    </w:p>
    <w:p>
      <w:pPr>
        <w:spacing w:before="80" w:after="40"/>
        <w:jc w:val="center"/>
      </w:pPr>
      <w:r>
        <w:drawing>
          <wp:inline xmlns:a="http://schemas.openxmlformats.org/drawingml/2006/main" xmlns:pic="http://schemas.openxmlformats.org/drawingml/2006/picture">
            <wp:extent cx="6126480" cy="3999566"/>
            <wp:docPr id="1" name="Picture 1" descr="ReactJS customer profile portal demonstrating the API-led request and sample customer response"/>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126480" cy="3999566"/>
                    </a:xfrm>
                    <a:prstGeom prst="rect"/>
                  </pic:spPr>
                </pic:pic>
              </a:graphicData>
            </a:graphic>
          </wp:inline>
        </w:drawing>
      </w:r>
    </w:p>
    <w:p>
      <w:pPr>
        <w:spacing w:before="60" w:after="160"/>
        <w:jc w:val="center"/>
      </w:pPr>
      <w:r>
        <w:rPr>
          <w:rFonts w:ascii="Arial" w:hAnsi="Arial"/>
          <w:i/>
          <w:color w:val="5F7386"/>
          <w:sz w:val="16"/>
        </w:rPr>
        <w:t>Portfolio UI showing a customer lookup and the three-layer MuleSoft request path</w:t>
      </w:r>
    </w:p>
    <w:p>
      <w:pPr>
        <w:spacing w:before="40"/>
        <w:jc w:val="center"/>
      </w:pPr>
      <w:r>
        <w:rPr>
          <w:color w:val="5F7386"/>
          <w:sz w:val="18"/>
        </w:rPr>
        <w:t>MuleSoft API-led integration  |  ReactJS  |  CloudHub 2.0</w:t>
      </w:r>
    </w:p>
    <w:p>
      <w:r>
        <w:br w:type="page"/>
      </w:r>
    </w:p>
    <w:p>
      <w:pPr>
        <w:pStyle w:val="Heading1"/>
      </w:pPr>
      <w:r>
        <w:t>Contents</w:t>
      </w:r>
    </w:p>
    <w:p>
      <w:r>
        <w:t>Use the linked section names to navigate this project guide.</w:t>
      </w:r>
    </w:p>
    <w:tbl>
      <w:tblPr>
        <w:tblW w:type="auto" w:w="0"/>
        <w:jc w:val="center"/>
        <w:tblLayout w:type="fixed"/>
        <w:tblLook w:firstColumn="1" w:firstRow="1" w:lastColumn="0" w:lastRow="0" w:noHBand="0" w:noVBand="1" w:val="04A0"/>
        <w:tblBorders>
          <w:top w:val="single" w:sz="4" w:color="E3E9ED"/>
          <w:left w:val="single" w:sz="4" w:color="E3E9ED"/>
          <w:bottom w:val="single" w:sz="4" w:color="E3E9ED"/>
          <w:right w:val="single" w:sz="4" w:color="E3E9ED"/>
          <w:insideH w:val="single" w:sz="4" w:color="E3E9ED"/>
          <w:insideV w:val="single" w:sz="4" w:color="E3E9ED"/>
        </w:tblBorders>
      </w:tblPr>
      <w:tblGrid>
        <w:gridCol w:w="8856"/>
        <w:gridCol w:w="1008"/>
      </w:tblGrid>
      <w:tr>
        <w:tc>
          <w:tcPr>
            <w:tcW w:type="dxa" w:w="8856"/>
            <w:tcMar>
              <w:top w:w="120" w:type="dxa"/>
              <w:start w:w="140" w:type="dxa"/>
              <w:bottom w:w="120" w:type="dxa"/>
              <w:end w:w="100" w:type="dxa"/>
            </w:tcMar>
            <w:shd w:fill="F3F6F9"/>
          </w:tcPr>
          <w:p>
            <w:pPr>
              <w:spacing w:after="0"/>
            </w:pPr>
            <w:hyperlink w:anchor="tools_workspace">
              <w:r>
                <w:rPr>
                  <w:color w:val="087F84"/>
                  <w:u w:val="single"/>
                </w:rPr>
                <w:t>Tools and Workspace</w:t>
              </w:r>
            </w:hyperlink>
          </w:p>
        </w:tc>
        <w:tc>
          <w:tcPr>
            <w:tcW w:type="dxa" w:w="1008"/>
            <w:tcMar>
              <w:top w:w="120" w:type="dxa"/>
              <w:start w:w="100" w:type="dxa"/>
              <w:bottom w:w="120" w:type="dxa"/>
              <w:end w:w="140" w:type="dxa"/>
            </w:tcMar>
            <w:shd w:fill="F3F6F9"/>
          </w:tcPr>
          <w:p>
            <w:pPr>
              <w:spacing w:after="0"/>
              <w:jc w:val="right"/>
            </w:pPr>
            <w:r>
              <w:rPr>
                <w:b/>
                <w:color w:val="5F7386"/>
                <w:sz w:val="18"/>
              </w:rPr>
              <w:t>3</w:t>
            </w:r>
          </w:p>
        </w:tc>
      </w:tr>
      <w:tr>
        <w:tc>
          <w:tcPr>
            <w:tcW w:type="dxa" w:w="8856"/>
            <w:tcMar>
              <w:top w:w="120" w:type="dxa"/>
              <w:start w:w="140" w:type="dxa"/>
              <w:bottom w:w="120" w:type="dxa"/>
              <w:end w:w="100" w:type="dxa"/>
            </w:tcMar>
          </w:tcPr>
          <w:p>
            <w:pPr>
              <w:spacing w:after="0"/>
            </w:pPr>
            <w:hyperlink w:anchor="anypoint_studio">
              <w:r>
                <w:rPr>
                  <w:color w:val="087F84"/>
                  <w:u w:val="single"/>
                </w:rPr>
                <w:t>Anypoint Studio</w:t>
              </w:r>
            </w:hyperlink>
          </w:p>
        </w:tc>
        <w:tc>
          <w:tcPr>
            <w:tcW w:type="dxa" w:w="1008"/>
            <w:tcMar>
              <w:top w:w="120" w:type="dxa"/>
              <w:start w:w="100" w:type="dxa"/>
              <w:bottom w:w="120" w:type="dxa"/>
              <w:end w:w="140" w:type="dxa"/>
            </w:tcMar>
          </w:tcPr>
          <w:p>
            <w:pPr>
              <w:spacing w:after="0"/>
              <w:jc w:val="right"/>
            </w:pPr>
            <w:r>
              <w:rPr>
                <w:b/>
                <w:color w:val="5F7386"/>
                <w:sz w:val="18"/>
              </w:rPr>
              <w:t>3</w:t>
            </w:r>
          </w:p>
        </w:tc>
      </w:tr>
      <w:tr>
        <w:tc>
          <w:tcPr>
            <w:tcW w:type="dxa" w:w="8856"/>
            <w:tcMar>
              <w:top w:w="120" w:type="dxa"/>
              <w:start w:w="140" w:type="dxa"/>
              <w:bottom w:w="120" w:type="dxa"/>
              <w:end w:w="100" w:type="dxa"/>
            </w:tcMar>
            <w:shd w:fill="F3F6F9"/>
          </w:tcPr>
          <w:p>
            <w:pPr>
              <w:spacing w:after="0"/>
            </w:pPr>
            <w:hyperlink w:anchor="vscode_react">
              <w:r>
                <w:rPr>
                  <w:color w:val="087F84"/>
                  <w:u w:val="single"/>
                </w:rPr>
                <w:t>VS Code and ReactJS</w:t>
              </w:r>
            </w:hyperlink>
          </w:p>
        </w:tc>
        <w:tc>
          <w:tcPr>
            <w:tcW w:type="dxa" w:w="1008"/>
            <w:tcMar>
              <w:top w:w="120" w:type="dxa"/>
              <w:start w:w="100" w:type="dxa"/>
              <w:bottom w:w="120" w:type="dxa"/>
              <w:end w:w="140" w:type="dxa"/>
            </w:tcMar>
            <w:shd w:fill="F3F6F9"/>
          </w:tcPr>
          <w:p>
            <w:pPr>
              <w:spacing w:after="0"/>
              <w:jc w:val="right"/>
            </w:pPr>
            <w:r>
              <w:rPr>
                <w:b/>
                <w:color w:val="5F7386"/>
                <w:sz w:val="18"/>
              </w:rPr>
              <w:t>4</w:t>
            </w:r>
          </w:p>
        </w:tc>
      </w:tr>
      <w:tr>
        <w:tc>
          <w:tcPr>
            <w:tcW w:type="dxa" w:w="8856"/>
            <w:tcMar>
              <w:top w:w="120" w:type="dxa"/>
              <w:start w:w="140" w:type="dxa"/>
              <w:bottom w:w="120" w:type="dxa"/>
              <w:end w:w="100" w:type="dxa"/>
            </w:tcMar>
          </w:tcPr>
          <w:p>
            <w:pPr>
              <w:spacing w:after="0"/>
            </w:pPr>
            <w:hyperlink w:anchor="project_overview">
              <w:r>
                <w:rPr>
                  <w:color w:val="087F84"/>
                  <w:u w:val="single"/>
                </w:rPr>
                <w:t>Project Overview</w:t>
              </w:r>
            </w:hyperlink>
          </w:p>
        </w:tc>
        <w:tc>
          <w:tcPr>
            <w:tcW w:type="dxa" w:w="1008"/>
            <w:tcMar>
              <w:top w:w="120" w:type="dxa"/>
              <w:start w:w="100" w:type="dxa"/>
              <w:bottom w:w="120" w:type="dxa"/>
              <w:end w:w="140" w:type="dxa"/>
            </w:tcMar>
          </w:tcPr>
          <w:p>
            <w:pPr>
              <w:spacing w:after="0"/>
              <w:jc w:val="right"/>
            </w:pPr>
            <w:r>
              <w:rPr>
                <w:b/>
                <w:color w:val="5F7386"/>
                <w:sz w:val="18"/>
              </w:rPr>
              <w:t>5</w:t>
            </w:r>
          </w:p>
        </w:tc>
      </w:tr>
      <w:tr>
        <w:tc>
          <w:tcPr>
            <w:tcW w:type="dxa" w:w="8856"/>
            <w:tcMar>
              <w:top w:w="120" w:type="dxa"/>
              <w:start w:w="140" w:type="dxa"/>
              <w:bottom w:w="120" w:type="dxa"/>
              <w:end w:w="100" w:type="dxa"/>
            </w:tcMar>
            <w:shd w:fill="F3F6F9"/>
          </w:tcPr>
          <w:p>
            <w:pPr>
              <w:spacing w:after="0"/>
            </w:pPr>
            <w:hyperlink w:anchor="solution_architecture">
              <w:r>
                <w:rPr>
                  <w:color w:val="087F84"/>
                  <w:u w:val="single"/>
                </w:rPr>
                <w:t>Solution Architecture</w:t>
              </w:r>
            </w:hyperlink>
          </w:p>
        </w:tc>
        <w:tc>
          <w:tcPr>
            <w:tcW w:type="dxa" w:w="1008"/>
            <w:tcMar>
              <w:top w:w="120" w:type="dxa"/>
              <w:start w:w="100" w:type="dxa"/>
              <w:bottom w:w="120" w:type="dxa"/>
              <w:end w:w="140" w:type="dxa"/>
            </w:tcMar>
            <w:shd w:fill="F3F6F9"/>
          </w:tcPr>
          <w:p>
            <w:pPr>
              <w:spacing w:after="0"/>
              <w:jc w:val="right"/>
            </w:pPr>
            <w:r>
              <w:rPr>
                <w:b/>
                <w:color w:val="5F7386"/>
                <w:sz w:val="18"/>
              </w:rPr>
              <w:t>6</w:t>
            </w:r>
          </w:p>
        </w:tc>
      </w:tr>
      <w:tr>
        <w:tc>
          <w:tcPr>
            <w:tcW w:type="dxa" w:w="8856"/>
            <w:tcMar>
              <w:top w:w="120" w:type="dxa"/>
              <w:start w:w="140" w:type="dxa"/>
              <w:bottom w:w="120" w:type="dxa"/>
              <w:end w:w="100" w:type="dxa"/>
            </w:tcMar>
          </w:tcPr>
          <w:p>
            <w:pPr>
              <w:spacing w:after="0"/>
            </w:pPr>
            <w:hyperlink w:anchor="api_implementation">
              <w:r>
                <w:rPr>
                  <w:color w:val="087F84"/>
                  <w:u w:val="single"/>
                </w:rPr>
                <w:t>API Contracts and Implementation</w:t>
              </w:r>
            </w:hyperlink>
          </w:p>
        </w:tc>
        <w:tc>
          <w:tcPr>
            <w:tcW w:type="dxa" w:w="1008"/>
            <w:tcMar>
              <w:top w:w="120" w:type="dxa"/>
              <w:start w:w="100" w:type="dxa"/>
              <w:bottom w:w="120" w:type="dxa"/>
              <w:end w:w="140" w:type="dxa"/>
            </w:tcMar>
          </w:tcPr>
          <w:p>
            <w:pPr>
              <w:spacing w:after="0"/>
              <w:jc w:val="right"/>
            </w:pPr>
            <w:r>
              <w:rPr>
                <w:b/>
                <w:color w:val="5F7386"/>
                <w:sz w:val="18"/>
              </w:rPr>
              <w:t>7</w:t>
            </w:r>
          </w:p>
        </w:tc>
      </w:tr>
      <w:tr>
        <w:tc>
          <w:tcPr>
            <w:tcW w:type="dxa" w:w="8856"/>
            <w:tcMar>
              <w:top w:w="120" w:type="dxa"/>
              <w:start w:w="140" w:type="dxa"/>
              <w:bottom w:w="120" w:type="dxa"/>
              <w:end w:w="100" w:type="dxa"/>
            </w:tcMar>
            <w:shd w:fill="F3F6F9"/>
          </w:tcPr>
          <w:p>
            <w:pPr>
              <w:spacing w:after="0"/>
            </w:pPr>
            <w:hyperlink w:anchor="request_lifecycle">
              <w:r>
                <w:rPr>
                  <w:color w:val="087F84"/>
                  <w:u w:val="single"/>
                </w:rPr>
                <w:t>Request Lifecycle and Example</w:t>
              </w:r>
            </w:hyperlink>
          </w:p>
        </w:tc>
        <w:tc>
          <w:tcPr>
            <w:tcW w:type="dxa" w:w="1008"/>
            <w:tcMar>
              <w:top w:w="120" w:type="dxa"/>
              <w:start w:w="100" w:type="dxa"/>
              <w:bottom w:w="120" w:type="dxa"/>
              <w:end w:w="140" w:type="dxa"/>
            </w:tcMar>
            <w:shd w:fill="F3F6F9"/>
          </w:tcPr>
          <w:p>
            <w:pPr>
              <w:spacing w:after="0"/>
              <w:jc w:val="right"/>
            </w:pPr>
            <w:r>
              <w:rPr>
                <w:b/>
                <w:color w:val="5F7386"/>
                <w:sz w:val="18"/>
              </w:rPr>
              <w:t>8</w:t>
            </w:r>
          </w:p>
        </w:tc>
      </w:tr>
      <w:tr>
        <w:tc>
          <w:tcPr>
            <w:tcW w:type="dxa" w:w="8856"/>
            <w:tcMar>
              <w:top w:w="120" w:type="dxa"/>
              <w:start w:w="140" w:type="dxa"/>
              <w:bottom w:w="120" w:type="dxa"/>
              <w:end w:w="100" w:type="dxa"/>
            </w:tcMar>
          </w:tcPr>
          <w:p>
            <w:pPr>
              <w:spacing w:after="0"/>
            </w:pPr>
            <w:hyperlink w:anchor="test_scenarios">
              <w:r>
                <w:rPr>
                  <w:color w:val="087F84"/>
                  <w:u w:val="single"/>
                </w:rPr>
                <w:t>Manual Test Scenarios</w:t>
              </w:r>
            </w:hyperlink>
          </w:p>
        </w:tc>
        <w:tc>
          <w:tcPr>
            <w:tcW w:type="dxa" w:w="1008"/>
            <w:tcMar>
              <w:top w:w="120" w:type="dxa"/>
              <w:start w:w="100" w:type="dxa"/>
              <w:bottom w:w="120" w:type="dxa"/>
              <w:end w:w="140" w:type="dxa"/>
            </w:tcMar>
          </w:tcPr>
          <w:p>
            <w:pPr>
              <w:spacing w:after="0"/>
              <w:jc w:val="right"/>
            </w:pPr>
            <w:r>
              <w:rPr>
                <w:b/>
                <w:color w:val="5F7386"/>
                <w:sz w:val="18"/>
              </w:rPr>
              <w:t>9</w:t>
            </w:r>
          </w:p>
        </w:tc>
      </w:tr>
      <w:tr>
        <w:tc>
          <w:tcPr>
            <w:tcW w:type="dxa" w:w="8856"/>
            <w:tcMar>
              <w:top w:w="120" w:type="dxa"/>
              <w:start w:w="140" w:type="dxa"/>
              <w:bottom w:w="120" w:type="dxa"/>
              <w:end w:w="100" w:type="dxa"/>
            </w:tcMar>
            <w:shd w:fill="F3F6F9"/>
          </w:tcPr>
          <w:p>
            <w:pPr>
              <w:spacing w:after="0"/>
            </w:pPr>
            <w:hyperlink w:anchor="local_release">
              <w:r>
                <w:rPr>
                  <w:color w:val="087F84"/>
                  <w:u w:val="single"/>
                </w:rPr>
                <w:t>Local Development and Release</w:t>
              </w:r>
            </w:hyperlink>
          </w:p>
        </w:tc>
        <w:tc>
          <w:tcPr>
            <w:tcW w:type="dxa" w:w="1008"/>
            <w:tcMar>
              <w:top w:w="120" w:type="dxa"/>
              <w:start w:w="100" w:type="dxa"/>
              <w:bottom w:w="120" w:type="dxa"/>
              <w:end w:w="140" w:type="dxa"/>
            </w:tcMar>
            <w:shd w:fill="F3F6F9"/>
          </w:tcPr>
          <w:p>
            <w:pPr>
              <w:spacing w:after="0"/>
              <w:jc w:val="right"/>
            </w:pPr>
            <w:r>
              <w:rPr>
                <w:b/>
                <w:color w:val="5F7386"/>
                <w:sz w:val="18"/>
              </w:rPr>
              <w:t>10</w:t>
            </w:r>
          </w:p>
        </w:tc>
      </w:tr>
      <w:tr>
        <w:tc>
          <w:tcPr>
            <w:tcW w:type="dxa" w:w="8856"/>
            <w:tcMar>
              <w:top w:w="120" w:type="dxa"/>
              <w:start w:w="140" w:type="dxa"/>
              <w:bottom w:w="120" w:type="dxa"/>
              <w:end w:w="100" w:type="dxa"/>
            </w:tcMar>
          </w:tcPr>
          <w:p>
            <w:pPr>
              <w:spacing w:after="0"/>
            </w:pPr>
            <w:hyperlink w:anchor="platform_evidence">
              <w:r>
                <w:rPr>
                  <w:color w:val="087F84"/>
                  <w:u w:val="single"/>
                </w:rPr>
                <w:t>Exchange and CloudHub Evidence</w:t>
              </w:r>
            </w:hyperlink>
          </w:p>
        </w:tc>
        <w:tc>
          <w:tcPr>
            <w:tcW w:type="dxa" w:w="1008"/>
            <w:tcMar>
              <w:top w:w="120" w:type="dxa"/>
              <w:start w:w="100" w:type="dxa"/>
              <w:bottom w:w="120" w:type="dxa"/>
              <w:end w:w="140" w:type="dxa"/>
            </w:tcMar>
          </w:tcPr>
          <w:p>
            <w:pPr>
              <w:spacing w:after="0"/>
              <w:jc w:val="right"/>
            </w:pPr>
            <w:r>
              <w:rPr>
                <w:b/>
                <w:color w:val="5F7386"/>
                <w:sz w:val="18"/>
              </w:rPr>
              <w:t>11</w:t>
            </w:r>
          </w:p>
        </w:tc>
      </w:tr>
      <w:tr>
        <w:tc>
          <w:tcPr>
            <w:tcW w:type="dxa" w:w="8856"/>
            <w:tcMar>
              <w:top w:w="120" w:type="dxa"/>
              <w:start w:w="140" w:type="dxa"/>
              <w:bottom w:w="120" w:type="dxa"/>
              <w:end w:w="100" w:type="dxa"/>
            </w:tcMar>
            <w:shd w:fill="F3F6F9"/>
          </w:tcPr>
          <w:p>
            <w:pPr>
              <w:spacing w:after="0"/>
            </w:pPr>
            <w:hyperlink w:anchor="portfolio_scope">
              <w:r>
                <w:rPr>
                  <w:color w:val="087F84"/>
                  <w:u w:val="single"/>
                </w:rPr>
                <w:t>Portfolio Scope and Next Steps</w:t>
              </w:r>
            </w:hyperlink>
          </w:p>
        </w:tc>
        <w:tc>
          <w:tcPr>
            <w:tcW w:type="dxa" w:w="1008"/>
            <w:tcMar>
              <w:top w:w="120" w:type="dxa"/>
              <w:start w:w="100" w:type="dxa"/>
              <w:bottom w:w="120" w:type="dxa"/>
              <w:end w:w="140" w:type="dxa"/>
            </w:tcMar>
            <w:shd w:fill="F3F6F9"/>
          </w:tcPr>
          <w:p>
            <w:pPr>
              <w:spacing w:after="0"/>
              <w:jc w:val="right"/>
            </w:pPr>
            <w:r>
              <w:rPr>
                <w:b/>
                <w:color w:val="5F7386"/>
                <w:sz w:val="18"/>
              </w:rPr>
              <w:t>12</w:t>
            </w:r>
          </w:p>
        </w:tc>
      </w:tr>
    </w:tbl>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PROJECT AT A GLANCE  </w:t>
            </w:r>
            <w:r>
              <w:t>One ReactJS front end, three Mule APIs, and a mock customer profile service. The sample demonstrates API-led separation and a repeatable local-to-CloudHub workflow.</w:t>
            </w:r>
          </w:p>
        </w:tc>
      </w:tr>
    </w:tbl>
    <w:p>
      <w:r>
        <w:br w:type="page"/>
      </w:r>
    </w:p>
    <w:p>
      <w:bookmarkStart w:id="1" w:name="tools_workspace"/>
      <w:pPr>
        <w:pStyle w:val="Heading1"/>
      </w:pPr>
      <w:r>
        <w:t>Tools and Workspace</w:t>
      </w:r>
      <w:bookmarkEnd w:id="1"/>
    </w:p>
    <w:p>
      <w:r>
        <w:t>The project uses Anypoint Studio to build, run, and inspect the Mule APIs, and Visual Studio Code to manage and launch the ReactJS front end. The screenshots below document the local development setup used for this sample.</w:t>
      </w:r>
    </w:p>
    <w:p>
      <w:bookmarkStart w:id="2" w:name="anypoint_studio"/>
      <w:pPr>
        <w:pStyle w:val="Heading2"/>
      </w:pPr>
      <w:r>
        <w:t>Anypoint Studio</w:t>
      </w:r>
      <w:bookmarkEnd w:id="2"/>
    </w:p>
    <w:p>
      <w:r>
        <w:t>Studio shows the Experience API listener and APIkit router, the three Mule applications deployed in the local runtime, and runtime logs from the sample request path.</w:t>
      </w:r>
    </w:p>
    <w:p>
      <w:pPr>
        <w:spacing w:before="80" w:after="40"/>
        <w:jc w:val="center"/>
      </w:pPr>
      <w:r>
        <w:drawing>
          <wp:inline xmlns:a="http://schemas.openxmlformats.org/drawingml/2006/main" xmlns:pic="http://schemas.openxmlformats.org/drawingml/2006/picture">
            <wp:extent cx="6217920" cy="6012558"/>
            <wp:docPr id="2" name="Picture 2" descr="Anypoint Studio workspace showing the Experience API flow, Mule palette, local applications, and runtime console"/>
            <wp:cNvGraphicFramePr>
              <a:graphicFrameLocks noChangeAspect="1"/>
            </wp:cNvGraphicFramePr>
            <a:graphic>
              <a:graphicData uri="http://schemas.openxmlformats.org/drawingml/2006/picture">
                <pic:pic>
                  <pic:nvPicPr>
                    <pic:cNvPr id="0" name="studio-tools.png"/>
                    <pic:cNvPicPr/>
                  </pic:nvPicPr>
                  <pic:blipFill>
                    <a:blip r:embed="rId12"/>
                    <a:stretch>
                      <a:fillRect/>
                    </a:stretch>
                  </pic:blipFill>
                  <pic:spPr>
                    <a:xfrm>
                      <a:off x="0" y="0"/>
                      <a:ext cx="6217920" cy="6012558"/>
                    </a:xfrm>
                    <a:prstGeom prst="rect"/>
                  </pic:spPr>
                </pic:pic>
              </a:graphicData>
            </a:graphic>
          </wp:inline>
        </w:drawing>
      </w:r>
    </w:p>
    <w:p>
      <w:pPr>
        <w:spacing w:before="60" w:after="160"/>
        <w:jc w:val="center"/>
      </w:pPr>
      <w:r>
        <w:rPr>
          <w:rFonts w:ascii="Arial" w:hAnsi="Arial"/>
          <w:i/>
          <w:color w:val="5F7386"/>
          <w:sz w:val="16"/>
        </w:rPr>
        <w:t>Figure 1. Mule API flows and local runtime in Anypoint Studio</w:t>
      </w:r>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TOOLS IN VIEW  </w:t>
            </w:r>
            <w:r>
              <w:t>Anypoint Studio  |  Mule Runtime  |  APIkit  |  HTTP Connector  |  DataWeave  |  Runtime console</w:t>
            </w:r>
          </w:p>
        </w:tc>
      </w:tr>
    </w:tbl>
    <w:p>
      <w:r>
        <w:br w:type="page"/>
      </w:r>
    </w:p>
    <w:p>
      <w:bookmarkStart w:id="3" w:name="vscode_react"/>
      <w:pPr>
        <w:pStyle w:val="Heading1"/>
      </w:pPr>
      <w:r>
        <w:t>VS Code and ReactJS</w:t>
      </w:r>
      <w:bookmarkEnd w:id="3"/>
    </w:p>
    <w:p>
      <w:r>
        <w:t>The ReactJS application is maintained in its own folder. VS Code provides the project explorer and integrated terminal for installing dependencies and running Vite during local development.</w:t>
      </w:r>
    </w:p>
    <w:p>
      <w:pPr>
        <w:spacing w:before="80" w:after="40"/>
        <w:jc w:val="center"/>
      </w:pPr>
      <w:r>
        <w:drawing>
          <wp:inline xmlns:a="http://schemas.openxmlformats.org/drawingml/2006/main" xmlns:pic="http://schemas.openxmlformats.org/drawingml/2006/picture">
            <wp:extent cx="6217920" cy="4136564"/>
            <wp:docPr id="3" name="Picture 3" descr="Visual Studio Code workspace showing the ReactJS project, source files, deployment scripts, and integrated terminal"/>
            <wp:cNvGraphicFramePr>
              <a:graphicFrameLocks noChangeAspect="1"/>
            </wp:cNvGraphicFramePr>
            <a:graphic>
              <a:graphicData uri="http://schemas.openxmlformats.org/drawingml/2006/picture">
                <pic:pic>
                  <pic:nvPicPr>
                    <pic:cNvPr id="0" name="vscode-tools.png"/>
                    <pic:cNvPicPr/>
                  </pic:nvPicPr>
                  <pic:blipFill>
                    <a:blip r:embed="rId13"/>
                    <a:stretch>
                      <a:fillRect/>
                    </a:stretch>
                  </pic:blipFill>
                  <pic:spPr>
                    <a:xfrm>
                      <a:off x="0" y="0"/>
                      <a:ext cx="6217920" cy="4136564"/>
                    </a:xfrm>
                    <a:prstGeom prst="rect"/>
                  </pic:spPr>
                </pic:pic>
              </a:graphicData>
            </a:graphic>
          </wp:inline>
        </w:drawing>
      </w:r>
    </w:p>
    <w:p>
      <w:pPr>
        <w:spacing w:before="60" w:after="160"/>
        <w:jc w:val="center"/>
      </w:pPr>
      <w:r>
        <w:rPr>
          <w:rFonts w:ascii="Arial" w:hAnsi="Arial"/>
          <w:i/>
          <w:color w:val="5F7386"/>
          <w:sz w:val="16"/>
        </w:rPr>
        <w:t>Figure 2. ReactJS project and development terminal in Visual Studio Code</w:t>
      </w:r>
    </w:p>
    <w:p>
      <w:pPr>
        <w:pStyle w:val="Heading2"/>
      </w:pPr>
      <w:r>
        <w:t>Local development loop</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cd reactJS-project</w:t>
            </w:r>
            <w:r>
              <w:br/>
            </w:r>
            <w:r>
              <w:rPr>
                <w:rFonts w:ascii="Courier New" w:hAnsi="Courier New"/>
                <w:color w:val="263C50"/>
                <w:sz w:val="16"/>
              </w:rPr>
              <w:t>npm install</w:t>
            </w:r>
            <w:r>
              <w:br/>
            </w:r>
            <w:r>
              <w:rPr>
                <w:rFonts w:ascii="Courier New" w:hAnsi="Courier New"/>
                <w:color w:val="263C50"/>
                <w:sz w:val="16"/>
              </w:rPr>
              <w:t>npm run dev</w:t>
            </w:r>
          </w:p>
        </w:tc>
      </w:tr>
    </w:tbl>
    <w:p>
      <w:pPr>
        <w:spacing w:after="20"/>
      </w:pPr>
    </w:p>
    <w:p>
      <w:r>
        <w:t>With the Mule APIs running in Studio, open the Vite URL (typically http://localhost:5173) and submit a customer lookup. The browser sends the request to the Experience API through the Vite development proxy.</w:t>
      </w:r>
    </w:p>
    <w:p>
      <w:r>
        <w:br w:type="page"/>
      </w:r>
    </w:p>
    <w:p>
      <w:bookmarkStart w:id="4" w:name="project_overview"/>
      <w:pPr>
        <w:pStyle w:val="Heading1"/>
      </w:pPr>
      <w:r>
        <w:t>Project Overview</w:t>
      </w:r>
      <w:bookmarkEnd w:id="4"/>
    </w:p>
    <w:p>
      <w:r>
        <w:t>This sample demonstrates a customer profile lookup from the browser through a MuleSoft API-led architecture. The ReactJS screen submits a name and two-letter country code. The Experience API accepts the UI request, the Process API enriches and orchestrates it, and the System API returns mock customer data.</w:t>
      </w:r>
    </w:p>
    <w:p>
      <w:pPr>
        <w:pStyle w:val="Heading2"/>
      </w:pPr>
      <w:r>
        <w:t>What the project demonstrates</w:t>
      </w:r>
    </w:p>
    <w:p>
      <w:pPr>
        <w:pStyle w:val="ListBullet"/>
        <w:spacing w:after="60"/>
      </w:pPr>
      <w:r>
        <w:t>A ReactJS and Vite user interface that calls a backend API using JSON.</w:t>
      </w:r>
    </w:p>
    <w:p>
      <w:pPr>
        <w:pStyle w:val="ListBullet"/>
        <w:spacing w:after="60"/>
      </w:pPr>
      <w:r>
        <w:t>Three API layers with separate RAML contracts and APIkit routing.</w:t>
      </w:r>
    </w:p>
    <w:p>
      <w:pPr>
        <w:pStyle w:val="ListBullet"/>
        <w:spacing w:after="60"/>
      </w:pPr>
      <w:r>
        <w:t>Mule flows for request handling and downstream API orchestration.</w:t>
      </w:r>
    </w:p>
    <w:p>
      <w:pPr>
        <w:pStyle w:val="ListBullet"/>
        <w:spacing w:after="60"/>
      </w:pPr>
      <w:r>
        <w:t>DataWeave for request normalization, country lookup, and response mapping.</w:t>
      </w:r>
    </w:p>
    <w:p>
      <w:pPr>
        <w:pStyle w:val="ListBullet"/>
        <w:spacing w:after="60"/>
      </w:pPr>
      <w:r>
        <w:t>Maven-based packaging and deployment scripts for Exchange and CloudHub 2.0.</w:t>
      </w:r>
    </w:p>
    <w:p>
      <w:pPr>
        <w:pStyle w:val="Heading2"/>
      </w:pPr>
      <w:r>
        <w:t>Repository layout</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reactJS-project/                         ReactJS and Vite interface</w:t>
            </w:r>
            <w:r>
              <w:br/>
            </w:r>
            <w:r>
              <w:rPr>
                <w:rFonts w:ascii="Courier New" w:hAnsi="Courier New"/>
                <w:color w:val="263C50"/>
                <w:sz w:val="16"/>
              </w:rPr>
              <w:t>mule-projects/customer-portal-experience-api/  Experience API</w:t>
            </w:r>
            <w:r>
              <w:br/>
            </w:r>
            <w:r>
              <w:rPr>
                <w:rFonts w:ascii="Courier New" w:hAnsi="Courier New"/>
                <w:color w:val="263C50"/>
                <w:sz w:val="16"/>
              </w:rPr>
              <w:t>mule-projects/customer-profile-process-api/    Process API</w:t>
            </w:r>
            <w:r>
              <w:br/>
            </w:r>
            <w:r>
              <w:rPr>
                <w:rFonts w:ascii="Courier New" w:hAnsi="Courier New"/>
                <w:color w:val="263C50"/>
                <w:sz w:val="16"/>
              </w:rPr>
              <w:t>mule-projects/mock-customer-system-api/         Mock System API</w:t>
            </w:r>
            <w:r>
              <w:br/>
            </w:r>
            <w:r>
              <w:rPr>
                <w:rFonts w:ascii="Courier New" w:hAnsi="Courier New"/>
                <w:color w:val="263C50"/>
                <w:sz w:val="16"/>
              </w:rPr>
              <w:t>deployment/                                     Build, publish, and deploy scripts</w:t>
            </w:r>
          </w:p>
        </w:tc>
      </w:tr>
    </w:tbl>
    <w:p>
      <w:pPr>
        <w:spacing w:after="20"/>
      </w:pPr>
    </w:p>
    <w:p>
      <w:pPr>
        <w:pStyle w:val="Heading2"/>
      </w:pPr>
      <w:r>
        <w:t>Project boundaries</w:t>
      </w:r>
    </w:p>
    <w:p>
      <w:r>
        <w:t>The System API is intentionally a mock backend for learning. The sample illustrates API-led design and integration mechanics; it does not connect to a live Salesforce org or contain production customer records.</w:t>
      </w:r>
    </w:p>
    <w:p>
      <w:r>
        <w:br w:type="page"/>
      </w:r>
    </w:p>
    <w:p>
      <w:bookmarkStart w:id="5" w:name="solution_architecture"/>
      <w:pPr>
        <w:pStyle w:val="Heading1"/>
      </w:pPr>
      <w:r>
        <w:t>Solution Architecture</w:t>
      </w:r>
      <w:bookmarkEnd w:id="5"/>
    </w:p>
    <w:p>
      <w:r>
        <w:t>The request moves from the presentation layer through the Experience, Process, and System APIs. Each Mule API owns a distinct responsibility and exposes a contract described in RAML.</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452"/>
        <w:gridCol w:w="1452"/>
        <w:gridCol w:w="1452"/>
        <w:gridCol w:w="1452"/>
        <w:gridCol w:w="1452"/>
        <w:gridCol w:w="1452"/>
        <w:gridCol w:w="1452"/>
      </w:tblGrid>
      <w:tr>
        <w:tc>
          <w:tcPr>
            <w:tcW w:type="dxa" w:w="1584"/>
            <w:tcMar>
              <w:top w:w="120" w:type="dxa"/>
              <w:start w:w="35" w:type="dxa"/>
              <w:bottom w:w="120" w:type="dxa"/>
              <w:end w:w="35" w:type="dxa"/>
            </w:tcMar>
            <w:shd w:fill="E8F4F2"/>
          </w:tcPr>
          <w:p>
            <w:pPr>
              <w:spacing w:after="0"/>
              <w:jc w:val="center"/>
            </w:pPr>
            <w:r>
              <w:rPr>
                <w:rFonts w:ascii="Arial" w:hAnsi="Arial"/>
                <w:b/>
                <w:color w:val="18304A"/>
                <w:sz w:val="16"/>
              </w:rPr>
              <w:t>ReactJS</w:t>
            </w:r>
          </w:p>
        </w:tc>
        <w:tc>
          <w:tcPr>
            <w:tcW w:type="dxa" w:w="403"/>
            <w:tcMar>
              <w:top w:w="120" w:type="dxa"/>
              <w:start w:w="35" w:type="dxa"/>
              <w:bottom w:w="120" w:type="dxa"/>
              <w:end w:w="35" w:type="dxa"/>
            </w:tcMar>
            <w:shd w:fill="E8F4F2"/>
          </w:tcPr>
          <w:p>
            <w:pPr>
              <w:spacing w:after="0"/>
              <w:jc w:val="center"/>
            </w:pPr>
            <w:r>
              <w:rPr>
                <w:rFonts w:ascii="Arial" w:hAnsi="Arial"/>
                <w:b/>
                <w:color w:val="18304A"/>
                <w:sz w:val="16"/>
              </w:rPr>
              <w:t>→</w:t>
            </w:r>
          </w:p>
        </w:tc>
        <w:tc>
          <w:tcPr>
            <w:tcW w:type="dxa" w:w="1800"/>
            <w:tcMar>
              <w:top w:w="120" w:type="dxa"/>
              <w:start w:w="35" w:type="dxa"/>
              <w:bottom w:w="120" w:type="dxa"/>
              <w:end w:w="35" w:type="dxa"/>
            </w:tcMar>
            <w:shd w:fill="087F84"/>
          </w:tcPr>
          <w:p>
            <w:pPr>
              <w:spacing w:after="0"/>
              <w:jc w:val="center"/>
            </w:pPr>
            <w:r>
              <w:rPr>
                <w:rFonts w:ascii="Arial" w:hAnsi="Arial"/>
                <w:b/>
                <w:color w:val="FFFFFF"/>
                <w:sz w:val="16"/>
              </w:rPr>
              <w:t>Experience API</w:t>
            </w:r>
          </w:p>
        </w:tc>
        <w:tc>
          <w:tcPr>
            <w:tcW w:type="dxa" w:w="403"/>
            <w:tcMar>
              <w:top w:w="120" w:type="dxa"/>
              <w:start w:w="35" w:type="dxa"/>
              <w:bottom w:w="120" w:type="dxa"/>
              <w:end w:w="35" w:type="dxa"/>
            </w:tcMar>
            <w:shd w:fill="E8F4F2"/>
          </w:tcPr>
          <w:p>
            <w:pPr>
              <w:spacing w:after="0"/>
              <w:jc w:val="center"/>
            </w:pPr>
            <w:r>
              <w:rPr>
                <w:rFonts w:ascii="Arial" w:hAnsi="Arial"/>
                <w:b/>
                <w:color w:val="18304A"/>
                <w:sz w:val="16"/>
              </w:rPr>
              <w:t>→</w:t>
            </w:r>
          </w:p>
        </w:tc>
        <w:tc>
          <w:tcPr>
            <w:tcW w:type="dxa" w:w="1656"/>
            <w:tcMar>
              <w:top w:w="120" w:type="dxa"/>
              <w:start w:w="35" w:type="dxa"/>
              <w:bottom w:w="120" w:type="dxa"/>
              <w:end w:w="35" w:type="dxa"/>
            </w:tcMar>
            <w:shd w:fill="087F84"/>
          </w:tcPr>
          <w:p>
            <w:pPr>
              <w:spacing w:after="0"/>
              <w:jc w:val="center"/>
            </w:pPr>
            <w:r>
              <w:rPr>
                <w:rFonts w:ascii="Arial" w:hAnsi="Arial"/>
                <w:b/>
                <w:color w:val="FFFFFF"/>
                <w:sz w:val="16"/>
              </w:rPr>
              <w:t>Process API</w:t>
            </w:r>
          </w:p>
        </w:tc>
        <w:tc>
          <w:tcPr>
            <w:tcW w:type="dxa" w:w="403"/>
            <w:tcMar>
              <w:top w:w="120" w:type="dxa"/>
              <w:start w:w="35" w:type="dxa"/>
              <w:bottom w:w="120" w:type="dxa"/>
              <w:end w:w="35" w:type="dxa"/>
            </w:tcMar>
            <w:shd w:fill="E8F4F2"/>
          </w:tcPr>
          <w:p>
            <w:pPr>
              <w:spacing w:after="0"/>
              <w:jc w:val="center"/>
            </w:pPr>
            <w:r>
              <w:rPr>
                <w:rFonts w:ascii="Arial" w:hAnsi="Arial"/>
                <w:b/>
                <w:color w:val="18304A"/>
                <w:sz w:val="16"/>
              </w:rPr>
              <w:t>→</w:t>
            </w:r>
          </w:p>
        </w:tc>
        <w:tc>
          <w:tcPr>
            <w:tcW w:type="dxa" w:w="1656"/>
            <w:tcMar>
              <w:top w:w="120" w:type="dxa"/>
              <w:start w:w="35" w:type="dxa"/>
              <w:bottom w:w="120" w:type="dxa"/>
              <w:end w:w="35" w:type="dxa"/>
            </w:tcMar>
            <w:shd w:fill="087F84"/>
          </w:tcPr>
          <w:p>
            <w:pPr>
              <w:spacing w:after="0"/>
              <w:jc w:val="center"/>
            </w:pPr>
            <w:r>
              <w:rPr>
                <w:rFonts w:ascii="Arial" w:hAnsi="Arial"/>
                <w:b/>
                <w:color w:val="FFFFFF"/>
                <w:sz w:val="16"/>
              </w:rPr>
              <w:t>System API</w:t>
            </w:r>
          </w:p>
        </w:tc>
      </w:tr>
    </w:tbl>
    <w:p/>
    <w:tbl>
      <w:tblPr>
        <w:tblW w:type="auto" w:w="0"/>
        <w:jc w:val="center"/>
        <w:tblLayout w:type="fixed"/>
        <w:tblLook w:firstColumn="1" w:firstRow="1" w:lastColumn="0" w:lastRow="0" w:noHBand="0" w:noVBand="1" w:val="04A0"/>
        <w:tblBorders>
          <w:top w:val="single" w:sz="5" w:color="DCE5EA"/>
          <w:left w:val="single" w:sz="5" w:color="DCE5EA"/>
          <w:bottom w:val="single" w:sz="5" w:color="DCE5EA"/>
          <w:right w:val="single" w:sz="5" w:color="DCE5EA"/>
          <w:insideH w:val="single" w:sz="5" w:color="DCE5EA"/>
          <w:insideV w:val="single" w:sz="5" w:color="DCE5EA"/>
        </w:tblBorders>
      </w:tblPr>
      <w:tblGrid>
        <w:gridCol w:w="3389"/>
        <w:gridCol w:w="3389"/>
        <w:gridCol w:w="3389"/>
      </w:tblGrid>
      <w:tr>
        <w:tc>
          <w:tcPr>
            <w:tcW w:type="dxa" w:w="1800"/>
            <w:vAlign w:val="center"/>
            <w:tcMar>
              <w:top w:w="90" w:type="dxa"/>
              <w:start w:w="100" w:type="dxa"/>
              <w:bottom w:w="90" w:type="dxa"/>
              <w:end w:w="100" w:type="dxa"/>
            </w:tcMar>
            <w:shd w:fill="18304A"/>
          </w:tcPr>
          <w:p>
            <w:pPr>
              <w:spacing w:after="20" w:before="20"/>
            </w:pPr>
            <w:r>
              <w:rPr>
                <w:rFonts w:ascii="Arial" w:hAnsi="Arial"/>
                <w:b/>
                <w:color w:val="FFFFFF"/>
                <w:sz w:val="17"/>
              </w:rPr>
              <w:t>Layer</w:t>
            </w:r>
          </w:p>
        </w:tc>
        <w:tc>
          <w:tcPr>
            <w:tcW w:type="dxa" w:w="3672"/>
            <w:vAlign w:val="center"/>
            <w:tcMar>
              <w:top w:w="90" w:type="dxa"/>
              <w:start w:w="100" w:type="dxa"/>
              <w:bottom w:w="90" w:type="dxa"/>
              <w:end w:w="100" w:type="dxa"/>
            </w:tcMar>
            <w:shd w:fill="18304A"/>
          </w:tcPr>
          <w:p>
            <w:pPr>
              <w:spacing w:after="20" w:before="20"/>
            </w:pPr>
            <w:r>
              <w:rPr>
                <w:rFonts w:ascii="Arial" w:hAnsi="Arial"/>
                <w:b/>
                <w:color w:val="FFFFFF"/>
                <w:sz w:val="17"/>
              </w:rPr>
              <w:t>Primary responsibility</w:t>
            </w:r>
          </w:p>
        </w:tc>
        <w:tc>
          <w:tcPr>
            <w:tcW w:type="dxa" w:w="4752"/>
            <w:vAlign w:val="center"/>
            <w:tcMar>
              <w:top w:w="90" w:type="dxa"/>
              <w:start w:w="100" w:type="dxa"/>
              <w:bottom w:w="90" w:type="dxa"/>
              <w:end w:w="100" w:type="dxa"/>
            </w:tcMar>
            <w:shd w:fill="18304A"/>
          </w:tcPr>
          <w:p>
            <w:pPr>
              <w:spacing w:after="20" w:before="20"/>
            </w:pPr>
            <w:r>
              <w:rPr>
                <w:rFonts w:ascii="Arial" w:hAnsi="Arial"/>
                <w:b/>
                <w:color w:val="FFFFFF"/>
                <w:sz w:val="17"/>
              </w:rPr>
              <w:t>This sample</w:t>
            </w:r>
          </w:p>
        </w:tc>
      </w:tr>
      <w:tr>
        <w:tc>
          <w:tcPr>
            <w:tcW w:type="dxa" w:w="1800"/>
            <w:vAlign w:val="center"/>
            <w:tcMar>
              <w:top w:w="90" w:type="dxa"/>
              <w:start w:w="100" w:type="dxa"/>
              <w:bottom w:w="90" w:type="dxa"/>
              <w:end w:w="100" w:type="dxa"/>
            </w:tcMar>
          </w:tcPr>
          <w:p>
            <w:pPr>
              <w:spacing w:after="20" w:before="20"/>
            </w:pPr>
            <w:r>
              <w:rPr>
                <w:rFonts w:ascii="Arial" w:hAnsi="Arial"/>
                <w:sz w:val="17"/>
              </w:rPr>
              <w:t>ReactJS UI</w:t>
            </w:r>
          </w:p>
        </w:tc>
        <w:tc>
          <w:tcPr>
            <w:tcW w:type="dxa" w:w="3672"/>
            <w:vAlign w:val="center"/>
            <w:tcMar>
              <w:top w:w="90" w:type="dxa"/>
              <w:start w:w="100" w:type="dxa"/>
              <w:bottom w:w="90" w:type="dxa"/>
              <w:end w:w="100" w:type="dxa"/>
            </w:tcMar>
          </w:tcPr>
          <w:p>
            <w:pPr>
              <w:spacing w:after="20" w:before="20"/>
            </w:pPr>
            <w:r>
              <w:rPr>
                <w:rFonts w:ascii="Arial" w:hAnsi="Arial"/>
                <w:sz w:val="17"/>
              </w:rPr>
              <w:t>Collect user input and present the profile response.</w:t>
            </w:r>
          </w:p>
        </w:tc>
        <w:tc>
          <w:tcPr>
            <w:tcW w:type="dxa" w:w="4752"/>
            <w:vAlign w:val="center"/>
            <w:tcMar>
              <w:top w:w="90" w:type="dxa"/>
              <w:start w:w="100" w:type="dxa"/>
              <w:bottom w:w="90" w:type="dxa"/>
              <w:end w:w="100" w:type="dxa"/>
            </w:tcMar>
          </w:tcPr>
          <w:p>
            <w:pPr>
              <w:spacing w:after="20" w:before="20"/>
            </w:pPr>
            <w:r>
              <w:rPr>
                <w:rFonts w:ascii="Arial" w:hAnsi="Arial"/>
                <w:sz w:val="17"/>
              </w:rPr>
              <w:t>Vite app calls POST /api/customer.</w:t>
            </w:r>
          </w:p>
        </w:tc>
      </w:tr>
      <w:tr>
        <w:tc>
          <w:tcPr>
            <w:tcW w:type="dxa" w:w="1800"/>
            <w:vAlign w:val="center"/>
            <w:tcMar>
              <w:top w:w="90" w:type="dxa"/>
              <w:start w:w="100" w:type="dxa"/>
              <w:bottom w:w="90" w:type="dxa"/>
              <w:end w:w="100" w:type="dxa"/>
            </w:tcMar>
            <w:shd w:fill="F3F6F9"/>
          </w:tcPr>
          <w:p>
            <w:pPr>
              <w:spacing w:after="20" w:before="20"/>
            </w:pPr>
            <w:r>
              <w:rPr>
                <w:rFonts w:ascii="Arial" w:hAnsi="Arial"/>
                <w:sz w:val="17"/>
              </w:rPr>
              <w:t>Experience API</w:t>
            </w:r>
          </w:p>
        </w:tc>
        <w:tc>
          <w:tcPr>
            <w:tcW w:type="dxa" w:w="3672"/>
            <w:vAlign w:val="center"/>
            <w:tcMar>
              <w:top w:w="90" w:type="dxa"/>
              <w:start w:w="100" w:type="dxa"/>
              <w:bottom w:w="90" w:type="dxa"/>
              <w:end w:w="100" w:type="dxa"/>
            </w:tcMar>
            <w:shd w:fill="F3F6F9"/>
          </w:tcPr>
          <w:p>
            <w:pPr>
              <w:spacing w:after="20" w:before="20"/>
            </w:pPr>
            <w:r>
              <w:rPr>
                <w:rFonts w:ascii="Arial" w:hAnsi="Arial"/>
                <w:sz w:val="17"/>
              </w:rPr>
              <w:t>Expose a UI-friendly endpoint and coordinate the experience.</w:t>
            </w:r>
          </w:p>
        </w:tc>
        <w:tc>
          <w:tcPr>
            <w:tcW w:type="dxa" w:w="4752"/>
            <w:vAlign w:val="center"/>
            <w:tcMar>
              <w:top w:w="90" w:type="dxa"/>
              <w:start w:w="100" w:type="dxa"/>
              <w:bottom w:w="90" w:type="dxa"/>
              <w:end w:w="100" w:type="dxa"/>
            </w:tcMar>
            <w:shd w:fill="F3F6F9"/>
          </w:tcPr>
          <w:p>
            <w:pPr>
              <w:spacing w:after="20" w:before="20"/>
            </w:pPr>
            <w:r>
              <w:rPr>
                <w:rFonts w:ascii="Arial" w:hAnsi="Arial"/>
                <w:sz w:val="17"/>
              </w:rPr>
              <w:t>APIkit routes POST /customer; DataWeave normalizes input and adapts output.</w:t>
            </w:r>
          </w:p>
        </w:tc>
      </w:tr>
      <w:tr>
        <w:tc>
          <w:tcPr>
            <w:tcW w:type="dxa" w:w="1800"/>
            <w:vAlign w:val="center"/>
            <w:tcMar>
              <w:top w:w="90" w:type="dxa"/>
              <w:start w:w="100" w:type="dxa"/>
              <w:bottom w:w="90" w:type="dxa"/>
              <w:end w:w="100" w:type="dxa"/>
            </w:tcMar>
          </w:tcPr>
          <w:p>
            <w:pPr>
              <w:spacing w:after="20" w:before="20"/>
            </w:pPr>
            <w:r>
              <w:rPr>
                <w:rFonts w:ascii="Arial" w:hAnsi="Arial"/>
                <w:sz w:val="17"/>
              </w:rPr>
              <w:t>Process API</w:t>
            </w:r>
          </w:p>
        </w:tc>
        <w:tc>
          <w:tcPr>
            <w:tcW w:type="dxa" w:w="3672"/>
            <w:vAlign w:val="center"/>
            <w:tcMar>
              <w:top w:w="90" w:type="dxa"/>
              <w:start w:w="100" w:type="dxa"/>
              <w:bottom w:w="90" w:type="dxa"/>
              <w:end w:w="100" w:type="dxa"/>
            </w:tcMar>
          </w:tcPr>
          <w:p>
            <w:pPr>
              <w:spacing w:after="20" w:before="20"/>
            </w:pPr>
            <w:r>
              <w:rPr>
                <w:rFonts w:ascii="Arial" w:hAnsi="Arial"/>
                <w:sz w:val="17"/>
              </w:rPr>
              <w:t>Apply reusable business orchestration and transformations.</w:t>
            </w:r>
          </w:p>
        </w:tc>
        <w:tc>
          <w:tcPr>
            <w:tcW w:type="dxa" w:w="4752"/>
            <w:vAlign w:val="center"/>
            <w:tcMar>
              <w:top w:w="90" w:type="dxa"/>
              <w:start w:w="100" w:type="dxa"/>
              <w:bottom w:w="90" w:type="dxa"/>
              <w:end w:w="100" w:type="dxa"/>
            </w:tcMar>
          </w:tcPr>
          <w:p>
            <w:pPr>
              <w:spacing w:after="20" w:before="20"/>
            </w:pPr>
            <w:r>
              <w:rPr>
                <w:rFonts w:ascii="Arial" w:hAnsi="Arial"/>
                <w:sz w:val="17"/>
              </w:rPr>
              <w:t>Looks up country name, calls System API, and adds process metadata.</w:t>
            </w:r>
          </w:p>
        </w:tc>
      </w:tr>
      <w:tr>
        <w:tc>
          <w:tcPr>
            <w:tcW w:type="dxa" w:w="1800"/>
            <w:vAlign w:val="center"/>
            <w:tcMar>
              <w:top w:w="90" w:type="dxa"/>
              <w:start w:w="100" w:type="dxa"/>
              <w:bottom w:w="90" w:type="dxa"/>
              <w:end w:w="100" w:type="dxa"/>
            </w:tcMar>
            <w:shd w:fill="F3F6F9"/>
          </w:tcPr>
          <w:p>
            <w:pPr>
              <w:spacing w:after="20" w:before="20"/>
            </w:pPr>
            <w:r>
              <w:rPr>
                <w:rFonts w:ascii="Arial" w:hAnsi="Arial"/>
                <w:sz w:val="17"/>
              </w:rPr>
              <w:t>System API</w:t>
            </w:r>
          </w:p>
        </w:tc>
        <w:tc>
          <w:tcPr>
            <w:tcW w:type="dxa" w:w="3672"/>
            <w:vAlign w:val="center"/>
            <w:tcMar>
              <w:top w:w="90" w:type="dxa"/>
              <w:start w:w="100" w:type="dxa"/>
              <w:bottom w:w="90" w:type="dxa"/>
              <w:end w:w="100" w:type="dxa"/>
            </w:tcMar>
            <w:shd w:fill="F3F6F9"/>
          </w:tcPr>
          <w:p>
            <w:pPr>
              <w:spacing w:after="20" w:before="20"/>
            </w:pPr>
            <w:r>
              <w:rPr>
                <w:rFonts w:ascii="Arial" w:hAnsi="Arial"/>
                <w:sz w:val="17"/>
              </w:rPr>
              <w:t>Isolate the backend system interface.</w:t>
            </w:r>
          </w:p>
        </w:tc>
        <w:tc>
          <w:tcPr>
            <w:tcW w:type="dxa" w:w="4752"/>
            <w:vAlign w:val="center"/>
            <w:tcMar>
              <w:top w:w="90" w:type="dxa"/>
              <w:start w:w="100" w:type="dxa"/>
              <w:bottom w:w="90" w:type="dxa"/>
              <w:end w:w="100" w:type="dxa"/>
            </w:tcMar>
            <w:shd w:fill="F3F6F9"/>
          </w:tcPr>
          <w:p>
            <w:pPr>
              <w:spacing w:after="20" w:before="20"/>
            </w:pPr>
            <w:r>
              <w:rPr>
                <w:rFonts w:ascii="Arial" w:hAnsi="Arial"/>
                <w:sz w:val="17"/>
              </w:rPr>
              <w:t>Returns a mock customer record using DataWeave.</w:t>
            </w:r>
          </w:p>
        </w:tc>
      </w:tr>
    </w:tbl>
    <w:p>
      <w:pPr>
        <w:pStyle w:val="Heading2"/>
      </w:pPr>
      <w:r>
        <w:t>Why separate the APIs</w:t>
      </w:r>
    </w:p>
    <w:p>
      <w:r>
        <w:t>The separation keeps the UI-facing contract independent from backend details. The Process API can coordinate business logic without putting it in the browser, while the System API gives the backend a stable interface. In a real enterprise implementation, the mock System API can be replaced by a governed connector-backed service.</w:t>
      </w:r>
    </w:p>
    <w:p>
      <w:pPr>
        <w:pStyle w:val="Heading2"/>
      </w:pPr>
      <w:r>
        <w:t>Local ports</w:t>
      </w:r>
    </w:p>
    <w:p>
      <w:r>
        <w:t>The local demo uses Experience API on 8083, Process API on 8082, and System API on 8084. The React development server runs on 5173 and proxies /api requests to the Experience API.</w:t>
      </w:r>
    </w:p>
    <w:p>
      <w:r>
        <w:br w:type="page"/>
      </w:r>
    </w:p>
    <w:p>
      <w:bookmarkStart w:id="6" w:name="api_implementation"/>
      <w:pPr>
        <w:pStyle w:val="Heading1"/>
      </w:pPr>
      <w:r>
        <w:t>API Contracts and Implementation</w:t>
      </w:r>
      <w:bookmarkEnd w:id="6"/>
    </w:p>
    <w:p>
      <w:r>
        <w:t>The project keeps API design artifacts, flow routing, and transformations visible as separate learning concerns.</w:t>
      </w:r>
    </w:p>
    <w:tbl>
      <w:tblPr>
        <w:tblW w:type="auto" w:w="0"/>
        <w:jc w:val="center"/>
        <w:tblLayout w:type="fixed"/>
        <w:tblLook w:firstColumn="1" w:firstRow="1" w:lastColumn="0" w:lastRow="0" w:noHBand="0" w:noVBand="1" w:val="04A0"/>
        <w:tblBorders>
          <w:top w:val="single" w:sz="5" w:color="DCE5EA"/>
          <w:left w:val="single" w:sz="5" w:color="DCE5EA"/>
          <w:bottom w:val="single" w:sz="5" w:color="DCE5EA"/>
          <w:right w:val="single" w:sz="5" w:color="DCE5EA"/>
          <w:insideH w:val="single" w:sz="5" w:color="DCE5EA"/>
          <w:insideV w:val="single" w:sz="5" w:color="DCE5EA"/>
        </w:tblBorders>
      </w:tblPr>
      <w:tblGrid>
        <w:gridCol w:w="3389"/>
        <w:gridCol w:w="3389"/>
        <w:gridCol w:w="3389"/>
      </w:tblGrid>
      <w:tr>
        <w:tc>
          <w:tcPr>
            <w:tcW w:type="dxa" w:w="1800"/>
            <w:vAlign w:val="center"/>
            <w:tcMar>
              <w:top w:w="90" w:type="dxa"/>
              <w:start w:w="100" w:type="dxa"/>
              <w:bottom w:w="90" w:type="dxa"/>
              <w:end w:w="100" w:type="dxa"/>
            </w:tcMar>
            <w:shd w:fill="18304A"/>
          </w:tcPr>
          <w:p>
            <w:pPr>
              <w:spacing w:after="20" w:before="20"/>
            </w:pPr>
            <w:r>
              <w:rPr>
                <w:rFonts w:ascii="Arial" w:hAnsi="Arial"/>
                <w:b/>
                <w:color w:val="FFFFFF"/>
                <w:sz w:val="16"/>
              </w:rPr>
              <w:t>Technology</w:t>
            </w:r>
          </w:p>
        </w:tc>
        <w:tc>
          <w:tcPr>
            <w:tcW w:type="dxa" w:w="3816"/>
            <w:vAlign w:val="center"/>
            <w:tcMar>
              <w:top w:w="90" w:type="dxa"/>
              <w:start w:w="100" w:type="dxa"/>
              <w:bottom w:w="90" w:type="dxa"/>
              <w:end w:w="100" w:type="dxa"/>
            </w:tcMar>
            <w:shd w:fill="18304A"/>
          </w:tcPr>
          <w:p>
            <w:pPr>
              <w:spacing w:after="20" w:before="20"/>
            </w:pPr>
            <w:r>
              <w:rPr>
                <w:rFonts w:ascii="Arial" w:hAnsi="Arial"/>
                <w:b/>
                <w:color w:val="FFFFFF"/>
                <w:sz w:val="16"/>
              </w:rPr>
              <w:t>Role in the sample</w:t>
            </w:r>
          </w:p>
        </w:tc>
        <w:tc>
          <w:tcPr>
            <w:tcW w:type="dxa" w:w="4608"/>
            <w:vAlign w:val="center"/>
            <w:tcMar>
              <w:top w:w="90" w:type="dxa"/>
              <w:start w:w="100" w:type="dxa"/>
              <w:bottom w:w="90" w:type="dxa"/>
              <w:end w:w="100" w:type="dxa"/>
            </w:tcMar>
            <w:shd w:fill="18304A"/>
          </w:tcPr>
          <w:p>
            <w:pPr>
              <w:spacing w:after="20" w:before="20"/>
            </w:pPr>
            <w:r>
              <w:rPr>
                <w:rFonts w:ascii="Arial" w:hAnsi="Arial"/>
                <w:b/>
                <w:color w:val="FFFFFF"/>
                <w:sz w:val="16"/>
              </w:rPr>
              <w:t>Where to look</w:t>
            </w:r>
          </w:p>
        </w:tc>
      </w:tr>
      <w:tr>
        <w:tc>
          <w:tcPr>
            <w:tcW w:type="dxa" w:w="1800"/>
            <w:vAlign w:val="center"/>
            <w:tcMar>
              <w:top w:w="90" w:type="dxa"/>
              <w:start w:w="100" w:type="dxa"/>
              <w:bottom w:w="90" w:type="dxa"/>
              <w:end w:w="100" w:type="dxa"/>
            </w:tcMar>
          </w:tcPr>
          <w:p>
            <w:pPr>
              <w:spacing w:after="20" w:before="20"/>
            </w:pPr>
            <w:r>
              <w:rPr>
                <w:rFonts w:ascii="Arial" w:hAnsi="Arial"/>
                <w:sz w:val="16"/>
              </w:rPr>
              <w:t>RAML 1.0</w:t>
            </w:r>
          </w:p>
        </w:tc>
        <w:tc>
          <w:tcPr>
            <w:tcW w:type="dxa" w:w="3816"/>
            <w:vAlign w:val="center"/>
            <w:tcMar>
              <w:top w:w="90" w:type="dxa"/>
              <w:start w:w="100" w:type="dxa"/>
              <w:bottom w:w="90" w:type="dxa"/>
              <w:end w:w="100" w:type="dxa"/>
            </w:tcMar>
          </w:tcPr>
          <w:p>
            <w:pPr>
              <w:spacing w:after="20" w:before="20"/>
            </w:pPr>
            <w:r>
              <w:rPr>
                <w:rFonts w:ascii="Arial" w:hAnsi="Arial"/>
                <w:sz w:val="16"/>
              </w:rPr>
              <w:t>Defines endpoint paths, methods, request and response shapes, and examples.</w:t>
            </w:r>
          </w:p>
        </w:tc>
        <w:tc>
          <w:tcPr>
            <w:tcW w:type="dxa" w:w="4608"/>
            <w:vAlign w:val="center"/>
            <w:tcMar>
              <w:top w:w="90" w:type="dxa"/>
              <w:start w:w="100" w:type="dxa"/>
              <w:bottom w:w="90" w:type="dxa"/>
              <w:end w:w="100" w:type="dxa"/>
            </w:tcMar>
          </w:tcPr>
          <w:p>
            <w:pPr>
              <w:spacing w:after="20" w:before="20"/>
            </w:pPr>
            <w:r>
              <w:rPr>
                <w:rFonts w:ascii="Arial" w:hAnsi="Arial"/>
                <w:sz w:val="16"/>
              </w:rPr>
              <w:t>Each Mule project: src/main/resources/api/*.raml</w:t>
            </w:r>
          </w:p>
        </w:tc>
      </w:tr>
      <w:tr>
        <w:tc>
          <w:tcPr>
            <w:tcW w:type="dxa" w:w="1800"/>
            <w:vAlign w:val="center"/>
            <w:tcMar>
              <w:top w:w="90" w:type="dxa"/>
              <w:start w:w="100" w:type="dxa"/>
              <w:bottom w:w="90" w:type="dxa"/>
              <w:end w:w="100" w:type="dxa"/>
            </w:tcMar>
            <w:shd w:fill="F3F6F9"/>
          </w:tcPr>
          <w:p>
            <w:pPr>
              <w:spacing w:after="20" w:before="20"/>
            </w:pPr>
            <w:r>
              <w:rPr>
                <w:rFonts w:ascii="Arial" w:hAnsi="Arial"/>
                <w:sz w:val="16"/>
              </w:rPr>
              <w:t>APIkit</w:t>
            </w:r>
          </w:p>
        </w:tc>
        <w:tc>
          <w:tcPr>
            <w:tcW w:type="dxa" w:w="3816"/>
            <w:vAlign w:val="center"/>
            <w:tcMar>
              <w:top w:w="90" w:type="dxa"/>
              <w:start w:w="100" w:type="dxa"/>
              <w:bottom w:w="90" w:type="dxa"/>
              <w:end w:w="100" w:type="dxa"/>
            </w:tcMar>
            <w:shd w:fill="F3F6F9"/>
          </w:tcPr>
          <w:p>
            <w:pPr>
              <w:spacing w:after="20" w:before="20"/>
            </w:pPr>
            <w:r>
              <w:rPr>
                <w:rFonts w:ascii="Arial" w:hAnsi="Arial"/>
                <w:sz w:val="16"/>
              </w:rPr>
              <w:t>Uses the RAML contract to route HTTP requests to the matching Mule flow.</w:t>
            </w:r>
          </w:p>
        </w:tc>
        <w:tc>
          <w:tcPr>
            <w:tcW w:type="dxa" w:w="4608"/>
            <w:vAlign w:val="center"/>
            <w:tcMar>
              <w:top w:w="90" w:type="dxa"/>
              <w:start w:w="100" w:type="dxa"/>
              <w:bottom w:w="90" w:type="dxa"/>
              <w:end w:w="100" w:type="dxa"/>
            </w:tcMar>
            <w:shd w:fill="F3F6F9"/>
          </w:tcPr>
          <w:p>
            <w:pPr>
              <w:spacing w:after="20" w:before="20"/>
            </w:pPr>
            <w:r>
              <w:rPr>
                <w:rFonts w:ascii="Arial" w:hAnsi="Arial"/>
                <w:sz w:val="16"/>
              </w:rPr>
              <w:t>Each Mule project: src/main/mule/*apikit.xml</w:t>
            </w:r>
          </w:p>
        </w:tc>
      </w:tr>
      <w:tr>
        <w:tc>
          <w:tcPr>
            <w:tcW w:type="dxa" w:w="1800"/>
            <w:vAlign w:val="center"/>
            <w:tcMar>
              <w:top w:w="90" w:type="dxa"/>
              <w:start w:w="100" w:type="dxa"/>
              <w:bottom w:w="90" w:type="dxa"/>
              <w:end w:w="100" w:type="dxa"/>
            </w:tcMar>
          </w:tcPr>
          <w:p>
            <w:pPr>
              <w:spacing w:after="20" w:before="20"/>
            </w:pPr>
            <w:r>
              <w:rPr>
                <w:rFonts w:ascii="Arial" w:hAnsi="Arial"/>
                <w:sz w:val="16"/>
              </w:rPr>
              <w:t>Mule flows</w:t>
            </w:r>
          </w:p>
        </w:tc>
        <w:tc>
          <w:tcPr>
            <w:tcW w:type="dxa" w:w="3816"/>
            <w:vAlign w:val="center"/>
            <w:tcMar>
              <w:top w:w="90" w:type="dxa"/>
              <w:start w:w="100" w:type="dxa"/>
              <w:bottom w:w="90" w:type="dxa"/>
              <w:end w:w="100" w:type="dxa"/>
            </w:tcMar>
          </w:tcPr>
          <w:p>
            <w:pPr>
              <w:spacing w:after="20" w:before="20"/>
            </w:pPr>
            <w:r>
              <w:rPr>
                <w:rFonts w:ascii="Arial" w:hAnsi="Arial"/>
                <w:sz w:val="16"/>
              </w:rPr>
              <w:t>Connect listeners, APIkit routers, HTTP requests, logging, and error handling.</w:t>
            </w:r>
          </w:p>
        </w:tc>
        <w:tc>
          <w:tcPr>
            <w:tcW w:type="dxa" w:w="4608"/>
            <w:vAlign w:val="center"/>
            <w:tcMar>
              <w:top w:w="90" w:type="dxa"/>
              <w:start w:w="100" w:type="dxa"/>
              <w:bottom w:w="90" w:type="dxa"/>
              <w:end w:w="100" w:type="dxa"/>
            </w:tcMar>
          </w:tcPr>
          <w:p>
            <w:pPr>
              <w:spacing w:after="20" w:before="20"/>
            </w:pPr>
            <w:r>
              <w:rPr>
                <w:rFonts w:ascii="Arial" w:hAnsi="Arial"/>
                <w:sz w:val="16"/>
              </w:rPr>
              <w:t>Each Mule project: src/main/mule/*.xml</w:t>
            </w:r>
          </w:p>
        </w:tc>
      </w:tr>
      <w:tr>
        <w:tc>
          <w:tcPr>
            <w:tcW w:type="dxa" w:w="1800"/>
            <w:vAlign w:val="center"/>
            <w:tcMar>
              <w:top w:w="90" w:type="dxa"/>
              <w:start w:w="100" w:type="dxa"/>
              <w:bottom w:w="90" w:type="dxa"/>
              <w:end w:w="100" w:type="dxa"/>
            </w:tcMar>
            <w:shd w:fill="F3F6F9"/>
          </w:tcPr>
          <w:p>
            <w:pPr>
              <w:spacing w:after="20" w:before="20"/>
            </w:pPr>
            <w:r>
              <w:rPr>
                <w:rFonts w:ascii="Arial" w:hAnsi="Arial"/>
                <w:sz w:val="16"/>
              </w:rPr>
              <w:t>DataWeave</w:t>
            </w:r>
          </w:p>
        </w:tc>
        <w:tc>
          <w:tcPr>
            <w:tcW w:type="dxa" w:w="3816"/>
            <w:vAlign w:val="center"/>
            <w:tcMar>
              <w:top w:w="90" w:type="dxa"/>
              <w:start w:w="100" w:type="dxa"/>
              <w:bottom w:w="90" w:type="dxa"/>
              <w:end w:w="100" w:type="dxa"/>
            </w:tcMar>
            <w:shd w:fill="F3F6F9"/>
          </w:tcPr>
          <w:p>
            <w:pPr>
              <w:spacing w:after="20" w:before="20"/>
            </w:pPr>
            <w:r>
              <w:rPr>
                <w:rFonts w:ascii="Arial" w:hAnsi="Arial"/>
                <w:sz w:val="16"/>
              </w:rPr>
              <w:t>Normalizes input, maps country codes, and shapes JSON responses.</w:t>
            </w:r>
          </w:p>
        </w:tc>
        <w:tc>
          <w:tcPr>
            <w:tcW w:type="dxa" w:w="4608"/>
            <w:vAlign w:val="center"/>
            <w:tcMar>
              <w:top w:w="90" w:type="dxa"/>
              <w:start w:w="100" w:type="dxa"/>
              <w:bottom w:w="90" w:type="dxa"/>
              <w:end w:w="100" w:type="dxa"/>
            </w:tcMar>
            <w:shd w:fill="F3F6F9"/>
          </w:tcPr>
          <w:p>
            <w:pPr>
              <w:spacing w:after="20" w:before="20"/>
            </w:pPr>
            <w:r>
              <w:rPr>
                <w:rFonts w:ascii="Arial" w:hAnsi="Arial"/>
                <w:sz w:val="16"/>
              </w:rPr>
              <w:t>Each Mule project: src/main/resources/dw/*.dwl</w:t>
            </w:r>
          </w:p>
        </w:tc>
      </w:tr>
      <w:tr>
        <w:tc>
          <w:tcPr>
            <w:tcW w:type="dxa" w:w="1800"/>
            <w:vAlign w:val="center"/>
            <w:tcMar>
              <w:top w:w="90" w:type="dxa"/>
              <w:start w:w="100" w:type="dxa"/>
              <w:bottom w:w="90" w:type="dxa"/>
              <w:end w:w="100" w:type="dxa"/>
            </w:tcMar>
          </w:tcPr>
          <w:p>
            <w:pPr>
              <w:spacing w:after="20" w:before="20"/>
            </w:pPr>
            <w:r>
              <w:rPr>
                <w:rFonts w:ascii="Arial" w:hAnsi="Arial"/>
                <w:sz w:val="16"/>
              </w:rPr>
              <w:t>ReactJS + Vite</w:t>
            </w:r>
          </w:p>
        </w:tc>
        <w:tc>
          <w:tcPr>
            <w:tcW w:type="dxa" w:w="3816"/>
            <w:vAlign w:val="center"/>
            <w:tcMar>
              <w:top w:w="90" w:type="dxa"/>
              <w:start w:w="100" w:type="dxa"/>
              <w:bottom w:w="90" w:type="dxa"/>
              <w:end w:w="100" w:type="dxa"/>
            </w:tcMar>
          </w:tcPr>
          <w:p>
            <w:pPr>
              <w:spacing w:after="20" w:before="20"/>
            </w:pPr>
            <w:r>
              <w:rPr>
                <w:rFonts w:ascii="Arial" w:hAnsi="Arial"/>
                <w:sz w:val="16"/>
              </w:rPr>
              <w:t>Renders the form and response and sends JSON to the Experience API.</w:t>
            </w:r>
          </w:p>
        </w:tc>
        <w:tc>
          <w:tcPr>
            <w:tcW w:type="dxa" w:w="4608"/>
            <w:vAlign w:val="center"/>
            <w:tcMar>
              <w:top w:w="90" w:type="dxa"/>
              <w:start w:w="100" w:type="dxa"/>
              <w:bottom w:w="90" w:type="dxa"/>
              <w:end w:w="100" w:type="dxa"/>
            </w:tcMar>
          </w:tcPr>
          <w:p>
            <w:pPr>
              <w:spacing w:after="20" w:before="20"/>
            </w:pPr>
            <w:r>
              <w:rPr>
                <w:rFonts w:ascii="Arial" w:hAnsi="Arial"/>
                <w:sz w:val="16"/>
              </w:rPr>
              <w:t>reactJS-project/src/App.jsx and vite.config.js</w:t>
            </w:r>
          </w:p>
        </w:tc>
      </w:tr>
    </w:tbl>
    <w:p>
      <w:pPr>
        <w:pStyle w:val="Heading2"/>
      </w:pPr>
      <w:r>
        <w:t>Example routing path</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RAML resource:       POST /customer</w:t>
            </w:r>
            <w:r>
              <w:br/>
            </w:r>
            <w:r>
              <w:rPr>
                <w:rFonts w:ascii="Courier New" w:hAnsi="Courier New"/>
                <w:color w:val="263C50"/>
                <w:sz w:val="16"/>
              </w:rPr>
              <w:t>Listener base path:  /api/*</w:t>
            </w:r>
            <w:r>
              <w:br/>
            </w:r>
            <w:r>
              <w:rPr>
                <w:rFonts w:ascii="Courier New" w:hAnsi="Courier New"/>
                <w:color w:val="263C50"/>
                <w:sz w:val="16"/>
              </w:rPr>
              <w:t>APIkit mapping:      resource="/customer", action="post"</w:t>
            </w:r>
            <w:r>
              <w:br/>
            </w:r>
            <w:r>
              <w:rPr>
                <w:rFonts w:ascii="Courier New" w:hAnsi="Courier New"/>
                <w:color w:val="263C50"/>
                <w:sz w:val="16"/>
              </w:rPr>
              <w:t>Flow responsibility: Experience → Process → System</w:t>
            </w:r>
          </w:p>
        </w:tc>
      </w:tr>
    </w:tbl>
    <w:p>
      <w:pPr>
        <w:spacing w:after="20"/>
      </w:pPr>
    </w:p>
    <w:p>
      <w:pPr>
        <w:pStyle w:val="Heading2"/>
      </w:pPr>
      <w:r>
        <w:t>Contract-first workflow</w:t>
      </w:r>
    </w:p>
    <w:p>
      <w:r>
        <w:t>The RAML files are the API contracts. They can be reviewed and designed in Anypoint Design Center; the Mule implementation remains in the local projects and is built with Anypoint Studio or Code Builder. Publishing a specification to Exchange makes it discoverable, while publishing a Mule application asset makes its version available for deployment and reuse.</w:t>
      </w:r>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NAMING NOTE  </w:t>
            </w:r>
            <w:r>
              <w:t>The Mule component is called a Mule flow. “MLflow” is a separate machine-learning lifecycle product and is not used by this project.</w:t>
            </w:r>
          </w:p>
        </w:tc>
      </w:tr>
    </w:tbl>
    <w:p>
      <w:r>
        <w:br w:type="page"/>
      </w:r>
    </w:p>
    <w:p>
      <w:bookmarkStart w:id="7" w:name="request_lifecycle"/>
      <w:pPr>
        <w:pStyle w:val="Heading1"/>
      </w:pPr>
      <w:r>
        <w:t>Request Lifecycle and Example</w:t>
      </w:r>
      <w:bookmarkEnd w:id="7"/>
    </w:p>
    <w:tbl>
      <w:tblPr>
        <w:tblW w:type="auto" w:w="0"/>
        <w:jc w:val="center"/>
        <w:tblLayout w:type="fixed"/>
        <w:tblLook w:firstColumn="1" w:firstRow="1" w:lastColumn="0" w:lastRow="0" w:noHBand="0" w:noVBand="1" w:val="04A0"/>
        <w:tblBorders>
          <w:top w:val="single" w:sz="5" w:color="DCE5EA"/>
          <w:left w:val="single" w:sz="5" w:color="DCE5EA"/>
          <w:bottom w:val="single" w:sz="5" w:color="DCE5EA"/>
          <w:right w:val="single" w:sz="5" w:color="DCE5EA"/>
          <w:insideH w:val="single" w:sz="5" w:color="DCE5EA"/>
          <w:insideV w:val="single" w:sz="5" w:color="DCE5EA"/>
        </w:tblBorders>
      </w:tblPr>
      <w:tblGrid>
        <w:gridCol w:w="3389"/>
        <w:gridCol w:w="3389"/>
        <w:gridCol w:w="3389"/>
      </w:tblGrid>
      <w:tr>
        <w:tc>
          <w:tcPr>
            <w:tcW w:type="dxa" w:w="605"/>
            <w:vAlign w:val="center"/>
            <w:tcMar>
              <w:top w:w="90" w:type="dxa"/>
              <w:start w:w="100" w:type="dxa"/>
              <w:bottom w:w="90" w:type="dxa"/>
              <w:end w:w="100" w:type="dxa"/>
            </w:tcMar>
            <w:shd w:fill="F3F6F9"/>
          </w:tcPr>
          <w:p>
            <w:pPr>
              <w:spacing w:after="20" w:before="20"/>
            </w:pPr>
            <w:r>
              <w:rPr>
                <w:rFonts w:ascii="Arial" w:hAnsi="Arial"/>
                <w:sz w:val="17"/>
              </w:rPr>
              <w:t>1</w:t>
            </w:r>
          </w:p>
        </w:tc>
        <w:tc>
          <w:tcPr>
            <w:tcW w:type="dxa" w:w="1944"/>
            <w:vAlign w:val="center"/>
            <w:tcMar>
              <w:top w:w="90" w:type="dxa"/>
              <w:start w:w="100" w:type="dxa"/>
              <w:bottom w:w="90" w:type="dxa"/>
              <w:end w:w="100" w:type="dxa"/>
            </w:tcMar>
            <w:shd w:fill="F3F6F9"/>
          </w:tcPr>
          <w:p>
            <w:pPr>
              <w:spacing w:after="20" w:before="20"/>
            </w:pPr>
            <w:r>
              <w:rPr>
                <w:rFonts w:ascii="Arial" w:hAnsi="Arial"/>
                <w:sz w:val="17"/>
              </w:rPr>
              <w:t>ReactJS</w:t>
            </w:r>
          </w:p>
        </w:tc>
        <w:tc>
          <w:tcPr>
            <w:tcW w:type="dxa" w:w="7632"/>
            <w:vAlign w:val="center"/>
            <w:tcMar>
              <w:top w:w="90" w:type="dxa"/>
              <w:start w:w="100" w:type="dxa"/>
              <w:bottom w:w="90" w:type="dxa"/>
              <w:end w:w="100" w:type="dxa"/>
            </w:tcMar>
            <w:shd w:fill="F3F6F9"/>
          </w:tcPr>
          <w:p>
            <w:pPr>
              <w:spacing w:after="20" w:before="20"/>
            </w:pPr>
            <w:r>
              <w:rPr>
                <w:rFonts w:ascii="Arial" w:hAnsi="Arial"/>
                <w:sz w:val="17"/>
              </w:rPr>
              <w:t>Submits { name, countryCode } as JSON to the Experience API.</w:t>
            </w:r>
          </w:p>
        </w:tc>
      </w:tr>
      <w:tr>
        <w:tc>
          <w:tcPr>
            <w:tcW w:type="dxa" w:w="605"/>
            <w:vAlign w:val="center"/>
            <w:tcMar>
              <w:top w:w="90" w:type="dxa"/>
              <w:start w:w="100" w:type="dxa"/>
              <w:bottom w:w="90" w:type="dxa"/>
              <w:end w:w="100" w:type="dxa"/>
            </w:tcMar>
          </w:tcPr>
          <w:p>
            <w:pPr>
              <w:spacing w:after="20" w:before="20"/>
            </w:pPr>
            <w:r>
              <w:rPr>
                <w:rFonts w:ascii="Arial" w:hAnsi="Arial"/>
                <w:sz w:val="17"/>
              </w:rPr>
              <w:t>2</w:t>
            </w:r>
          </w:p>
        </w:tc>
        <w:tc>
          <w:tcPr>
            <w:tcW w:type="dxa" w:w="1944"/>
            <w:vAlign w:val="center"/>
            <w:tcMar>
              <w:top w:w="90" w:type="dxa"/>
              <w:start w:w="100" w:type="dxa"/>
              <w:bottom w:w="90" w:type="dxa"/>
              <w:end w:w="100" w:type="dxa"/>
            </w:tcMar>
          </w:tcPr>
          <w:p>
            <w:pPr>
              <w:spacing w:after="20" w:before="20"/>
            </w:pPr>
            <w:r>
              <w:rPr>
                <w:rFonts w:ascii="Arial" w:hAnsi="Arial"/>
                <w:sz w:val="17"/>
              </w:rPr>
              <w:t>Experience API</w:t>
            </w:r>
          </w:p>
        </w:tc>
        <w:tc>
          <w:tcPr>
            <w:tcW w:type="dxa" w:w="7632"/>
            <w:vAlign w:val="center"/>
            <w:tcMar>
              <w:top w:w="90" w:type="dxa"/>
              <w:start w:w="100" w:type="dxa"/>
              <w:bottom w:w="90" w:type="dxa"/>
              <w:end w:w="100" w:type="dxa"/>
            </w:tcMar>
          </w:tcPr>
          <w:p>
            <w:pPr>
              <w:spacing w:after="20" w:before="20"/>
            </w:pPr>
            <w:r>
              <w:rPr>
                <w:rFonts w:ascii="Arial" w:hAnsi="Arial"/>
                <w:sz w:val="17"/>
              </w:rPr>
              <w:t>APIkit routes the request; DataWeave trims the name and normalizes the country code.</w:t>
            </w:r>
          </w:p>
        </w:tc>
      </w:tr>
      <w:tr>
        <w:tc>
          <w:tcPr>
            <w:tcW w:type="dxa" w:w="605"/>
            <w:vAlign w:val="center"/>
            <w:tcMar>
              <w:top w:w="90" w:type="dxa"/>
              <w:start w:w="100" w:type="dxa"/>
              <w:bottom w:w="90" w:type="dxa"/>
              <w:end w:w="100" w:type="dxa"/>
            </w:tcMar>
            <w:shd w:fill="F3F6F9"/>
          </w:tcPr>
          <w:p>
            <w:pPr>
              <w:spacing w:after="20" w:before="20"/>
            </w:pPr>
            <w:r>
              <w:rPr>
                <w:rFonts w:ascii="Arial" w:hAnsi="Arial"/>
                <w:sz w:val="17"/>
              </w:rPr>
              <w:t>3</w:t>
            </w:r>
          </w:p>
        </w:tc>
        <w:tc>
          <w:tcPr>
            <w:tcW w:type="dxa" w:w="1944"/>
            <w:vAlign w:val="center"/>
            <w:tcMar>
              <w:top w:w="90" w:type="dxa"/>
              <w:start w:w="100" w:type="dxa"/>
              <w:bottom w:w="90" w:type="dxa"/>
              <w:end w:w="100" w:type="dxa"/>
            </w:tcMar>
            <w:shd w:fill="F3F6F9"/>
          </w:tcPr>
          <w:p>
            <w:pPr>
              <w:spacing w:after="20" w:before="20"/>
            </w:pPr>
            <w:r>
              <w:rPr>
                <w:rFonts w:ascii="Arial" w:hAnsi="Arial"/>
                <w:sz w:val="17"/>
              </w:rPr>
              <w:t>Process API</w:t>
            </w:r>
          </w:p>
        </w:tc>
        <w:tc>
          <w:tcPr>
            <w:tcW w:type="dxa" w:w="7632"/>
            <w:vAlign w:val="center"/>
            <w:tcMar>
              <w:top w:w="90" w:type="dxa"/>
              <w:start w:w="100" w:type="dxa"/>
              <w:bottom w:w="90" w:type="dxa"/>
              <w:end w:w="100" w:type="dxa"/>
            </w:tcMar>
            <w:shd w:fill="F3F6F9"/>
          </w:tcPr>
          <w:p>
            <w:pPr>
              <w:spacing w:after="20" w:before="20"/>
            </w:pPr>
            <w:r>
              <w:rPr>
                <w:rFonts w:ascii="Arial" w:hAnsi="Arial"/>
                <w:sz w:val="17"/>
              </w:rPr>
              <w:t>DataWeave resolves the country name and prepares the downstream request.</w:t>
            </w:r>
          </w:p>
        </w:tc>
      </w:tr>
      <w:tr>
        <w:tc>
          <w:tcPr>
            <w:tcW w:type="dxa" w:w="605"/>
            <w:vAlign w:val="center"/>
            <w:tcMar>
              <w:top w:w="90" w:type="dxa"/>
              <w:start w:w="100" w:type="dxa"/>
              <w:bottom w:w="90" w:type="dxa"/>
              <w:end w:w="100" w:type="dxa"/>
            </w:tcMar>
          </w:tcPr>
          <w:p>
            <w:pPr>
              <w:spacing w:after="20" w:before="20"/>
            </w:pPr>
            <w:r>
              <w:rPr>
                <w:rFonts w:ascii="Arial" w:hAnsi="Arial"/>
                <w:sz w:val="17"/>
              </w:rPr>
              <w:t>4</w:t>
            </w:r>
          </w:p>
        </w:tc>
        <w:tc>
          <w:tcPr>
            <w:tcW w:type="dxa" w:w="1944"/>
            <w:vAlign w:val="center"/>
            <w:tcMar>
              <w:top w:w="90" w:type="dxa"/>
              <w:start w:w="100" w:type="dxa"/>
              <w:bottom w:w="90" w:type="dxa"/>
              <w:end w:w="100" w:type="dxa"/>
            </w:tcMar>
          </w:tcPr>
          <w:p>
            <w:pPr>
              <w:spacing w:after="20" w:before="20"/>
            </w:pPr>
            <w:r>
              <w:rPr>
                <w:rFonts w:ascii="Arial" w:hAnsi="Arial"/>
                <w:sz w:val="17"/>
              </w:rPr>
              <w:t>System API</w:t>
            </w:r>
          </w:p>
        </w:tc>
        <w:tc>
          <w:tcPr>
            <w:tcW w:type="dxa" w:w="7632"/>
            <w:vAlign w:val="center"/>
            <w:tcMar>
              <w:top w:w="90" w:type="dxa"/>
              <w:start w:w="100" w:type="dxa"/>
              <w:bottom w:w="90" w:type="dxa"/>
              <w:end w:w="100" w:type="dxa"/>
            </w:tcMar>
          </w:tcPr>
          <w:p>
            <w:pPr>
              <w:spacing w:after="20" w:before="20"/>
            </w:pPr>
            <w:r>
              <w:rPr>
                <w:rFonts w:ascii="Arial" w:hAnsi="Arial"/>
                <w:sz w:val="17"/>
              </w:rPr>
              <w:t>Returns a mock customer record; the Process API and Experience API add their response metadata.</w:t>
            </w:r>
          </w:p>
        </w:tc>
      </w:tr>
      <w:tr>
        <w:tc>
          <w:tcPr>
            <w:tcW w:type="dxa" w:w="605"/>
            <w:vAlign w:val="center"/>
            <w:tcMar>
              <w:top w:w="90" w:type="dxa"/>
              <w:start w:w="100" w:type="dxa"/>
              <w:bottom w:w="90" w:type="dxa"/>
              <w:end w:w="100" w:type="dxa"/>
            </w:tcMar>
            <w:shd w:fill="F3F6F9"/>
          </w:tcPr>
          <w:p>
            <w:pPr>
              <w:spacing w:after="20" w:before="20"/>
            </w:pPr>
            <w:r>
              <w:rPr>
                <w:rFonts w:ascii="Arial" w:hAnsi="Arial"/>
                <w:sz w:val="17"/>
              </w:rPr>
              <w:t>5</w:t>
            </w:r>
          </w:p>
        </w:tc>
        <w:tc>
          <w:tcPr>
            <w:tcW w:type="dxa" w:w="1944"/>
            <w:vAlign w:val="center"/>
            <w:tcMar>
              <w:top w:w="90" w:type="dxa"/>
              <w:start w:w="100" w:type="dxa"/>
              <w:bottom w:w="90" w:type="dxa"/>
              <w:end w:w="100" w:type="dxa"/>
            </w:tcMar>
            <w:shd w:fill="F3F6F9"/>
          </w:tcPr>
          <w:p>
            <w:pPr>
              <w:spacing w:after="20" w:before="20"/>
            </w:pPr>
            <w:r>
              <w:rPr>
                <w:rFonts w:ascii="Arial" w:hAnsi="Arial"/>
                <w:sz w:val="17"/>
              </w:rPr>
              <w:t>ReactJS</w:t>
            </w:r>
          </w:p>
        </w:tc>
        <w:tc>
          <w:tcPr>
            <w:tcW w:type="dxa" w:w="7632"/>
            <w:vAlign w:val="center"/>
            <w:tcMar>
              <w:top w:w="90" w:type="dxa"/>
              <w:start w:w="100" w:type="dxa"/>
              <w:bottom w:w="90" w:type="dxa"/>
              <w:end w:w="100" w:type="dxa"/>
            </w:tcMar>
            <w:shd w:fill="F3F6F9"/>
          </w:tcPr>
          <w:p>
            <w:pPr>
              <w:spacing w:after="20" w:before="20"/>
            </w:pPr>
            <w:r>
              <w:rPr>
                <w:rFonts w:ascii="Arial" w:hAnsi="Arial"/>
                <w:sz w:val="17"/>
              </w:rPr>
              <w:t>Renders the greeting, customer ID, status, plan, and country.</w:t>
            </w:r>
          </w:p>
        </w:tc>
      </w:tr>
    </w:tbl>
    <w:p>
      <w:pPr>
        <w:pStyle w:val="Heading2"/>
      </w:pPr>
      <w:r>
        <w:t>Example request</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curl -i -X POST 'http://localhost:8083/api/customer' \</w:t>
            </w:r>
            <w:r>
              <w:br/>
            </w:r>
            <w:r>
              <w:rPr>
                <w:rFonts w:ascii="Courier New" w:hAnsi="Courier New"/>
                <w:color w:val="263C50"/>
                <w:sz w:val="16"/>
              </w:rPr>
              <w:t xml:space="preserve">  -H 'Content-Type: application/json' \</w:t>
            </w:r>
            <w:r>
              <w:br/>
            </w:r>
            <w:r>
              <w:rPr>
                <w:rFonts w:ascii="Courier New" w:hAnsi="Courier New"/>
                <w:color w:val="263C50"/>
                <w:sz w:val="16"/>
              </w:rPr>
              <w:t xml:space="preserve">  -d '{"name":"Merlin","countryCode":"IN"}'</w:t>
            </w:r>
          </w:p>
        </w:tc>
      </w:tr>
    </w:tbl>
    <w:p>
      <w:pPr>
        <w:spacing w:after="20"/>
      </w:pPr>
    </w:p>
    <w:p>
      <w:r>
        <w:t>For CloudHub, replace the localhost URL with the current Experience API endpoint shown in Runtime Manager. CloudHub hostnames are environment-specific and may change after redeployment.</w:t>
      </w:r>
    </w:p>
    <w:p>
      <w:pPr>
        <w:pStyle w:val="Heading2"/>
      </w:pPr>
      <w:r>
        <w:t>Example response</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w:t>
            </w:r>
            <w:r>
              <w:br/>
            </w:r>
            <w:r>
              <w:rPr>
                <w:rFonts w:ascii="Courier New" w:hAnsi="Courier New"/>
                <w:color w:val="263C50"/>
                <w:sz w:val="16"/>
              </w:rPr>
              <w:t xml:space="preserve">  "name": "Merlin",</w:t>
            </w:r>
            <w:r>
              <w:br/>
            </w:r>
            <w:r>
              <w:rPr>
                <w:rFonts w:ascii="Courier New" w:hAnsi="Courier New"/>
                <w:color w:val="263C50"/>
                <w:sz w:val="16"/>
              </w:rPr>
              <w:t xml:space="preserve">  "countryCode": "IN",</w:t>
            </w:r>
            <w:r>
              <w:br/>
            </w:r>
            <w:r>
              <w:rPr>
                <w:rFonts w:ascii="Courier New" w:hAnsi="Courier New"/>
                <w:color w:val="263C50"/>
                <w:sz w:val="16"/>
              </w:rPr>
              <w:t xml:space="preserve">  "countryName": "India",</w:t>
            </w:r>
            <w:r>
              <w:br/>
            </w:r>
            <w:r>
              <w:rPr>
                <w:rFonts w:ascii="Courier New" w:hAnsi="Courier New"/>
                <w:color w:val="263C50"/>
                <w:sz w:val="16"/>
              </w:rPr>
              <w:t xml:space="preserve">  "message": "Hello, Merlin! Here is your mock customer profile for India.",</w:t>
            </w:r>
            <w:r>
              <w:br/>
            </w:r>
            <w:r>
              <w:rPr>
                <w:rFonts w:ascii="Courier New" w:hAnsi="Courier New"/>
                <w:color w:val="263C50"/>
                <w:sz w:val="16"/>
              </w:rPr>
              <w:t xml:space="preserve">  "customer": { "id": "CUST-1001", "status": "ACTIVE", "plan": "Learning Demo" },</w:t>
            </w:r>
            <w:r>
              <w:br/>
            </w:r>
            <w:r>
              <w:rPr>
                <w:rFonts w:ascii="Courier New" w:hAnsi="Courier New"/>
                <w:color w:val="263C50"/>
                <w:sz w:val="16"/>
              </w:rPr>
              <w:t xml:space="preserve">  "source": "System API mock data",</w:t>
            </w:r>
            <w:r>
              <w:br/>
            </w:r>
            <w:r>
              <w:rPr>
                <w:rFonts w:ascii="Courier New" w:hAnsi="Courier New"/>
                <w:color w:val="263C50"/>
                <w:sz w:val="16"/>
              </w:rPr>
              <w:t xml:space="preserve">  "systemApi": "System API",</w:t>
            </w:r>
            <w:r>
              <w:br/>
            </w:r>
            <w:r>
              <w:rPr>
                <w:rFonts w:ascii="Courier New" w:hAnsi="Courier New"/>
                <w:color w:val="263C50"/>
                <w:sz w:val="16"/>
              </w:rPr>
              <w:t xml:space="preserve">  "processApi": "Process API",</w:t>
            </w:r>
            <w:r>
              <w:br/>
            </w:r>
            <w:r>
              <w:rPr>
                <w:rFonts w:ascii="Courier New" w:hAnsi="Courier New"/>
                <w:color w:val="263C50"/>
                <w:sz w:val="16"/>
              </w:rPr>
              <w:t xml:space="preserve">  "experienceApi": "Experience API"</w:t>
            </w:r>
            <w:r>
              <w:br/>
            </w:r>
            <w:r>
              <w:rPr>
                <w:rFonts w:ascii="Courier New" w:hAnsi="Courier New"/>
                <w:color w:val="263C50"/>
                <w:sz w:val="16"/>
              </w:rPr>
              <w:t>}</w:t>
            </w:r>
          </w:p>
        </w:tc>
      </w:tr>
    </w:tbl>
    <w:p>
      <w:pPr>
        <w:spacing w:after="20"/>
      </w:pPr>
    </w:p>
    <w:p>
      <w:r>
        <w:br w:type="page"/>
      </w:r>
    </w:p>
    <w:p>
      <w:bookmarkStart w:id="8" w:name="test_scenarios"/>
      <w:pPr>
        <w:pStyle w:val="Heading1"/>
      </w:pPr>
      <w:r>
        <w:t>Manual Test Scenarios</w:t>
      </w:r>
      <w:bookmarkEnd w:id="8"/>
    </w:p>
    <w:p>
      <w:r>
        <w:t>Run these checks against the local Experience API at http://localhost:8083/api/customer or the current CloudHub Experience API hostname. Use Postman or curl, and confirm the response in both the client and Mule logs.</w:t>
      </w:r>
    </w:p>
    <w:tbl>
      <w:tblPr>
        <w:tblW w:type="auto" w:w="0"/>
        <w:jc w:val="center"/>
        <w:tblLayout w:type="fixed"/>
        <w:tblLook w:firstColumn="1" w:firstRow="1" w:lastColumn="0" w:lastRow="0" w:noHBand="0" w:noVBand="1" w:val="04A0"/>
        <w:tblBorders>
          <w:top w:val="single" w:sz="5" w:color="DCE5EA"/>
          <w:left w:val="single" w:sz="5" w:color="DCE5EA"/>
          <w:bottom w:val="single" w:sz="5" w:color="DCE5EA"/>
          <w:right w:val="single" w:sz="5" w:color="DCE5EA"/>
          <w:insideH w:val="single" w:sz="5" w:color="DCE5EA"/>
          <w:insideV w:val="single" w:sz="5" w:color="DCE5EA"/>
        </w:tblBorders>
      </w:tblPr>
      <w:tblGrid>
        <w:gridCol w:w="3389"/>
        <w:gridCol w:w="3389"/>
        <w:gridCol w:w="3389"/>
      </w:tblGrid>
      <w:tr>
        <w:tc>
          <w:tcPr>
            <w:tcW w:type="dxa" w:w="1944"/>
            <w:vAlign w:val="center"/>
            <w:tcMar>
              <w:top w:w="90" w:type="dxa"/>
              <w:start w:w="100" w:type="dxa"/>
              <w:bottom w:w="90" w:type="dxa"/>
              <w:end w:w="100" w:type="dxa"/>
            </w:tcMar>
            <w:shd w:fill="18304A"/>
          </w:tcPr>
          <w:p>
            <w:pPr>
              <w:spacing w:after="20" w:before="20"/>
            </w:pPr>
            <w:r>
              <w:rPr>
                <w:rFonts w:ascii="Arial" w:hAnsi="Arial"/>
                <w:b/>
                <w:color w:val="FFFFFF"/>
                <w:sz w:val="16"/>
              </w:rPr>
              <w:t>Scenario</w:t>
            </w:r>
          </w:p>
        </w:tc>
        <w:tc>
          <w:tcPr>
            <w:tcW w:type="dxa" w:w="3528"/>
            <w:vAlign w:val="center"/>
            <w:tcMar>
              <w:top w:w="90" w:type="dxa"/>
              <w:start w:w="100" w:type="dxa"/>
              <w:bottom w:w="90" w:type="dxa"/>
              <w:end w:w="100" w:type="dxa"/>
            </w:tcMar>
            <w:shd w:fill="18304A"/>
          </w:tcPr>
          <w:p>
            <w:pPr>
              <w:spacing w:after="20" w:before="20"/>
            </w:pPr>
            <w:r>
              <w:rPr>
                <w:rFonts w:ascii="Arial" w:hAnsi="Arial"/>
                <w:b/>
                <w:color w:val="FFFFFF"/>
                <w:sz w:val="16"/>
              </w:rPr>
              <w:t>Input or action</w:t>
            </w:r>
          </w:p>
        </w:tc>
        <w:tc>
          <w:tcPr>
            <w:tcW w:type="dxa" w:w="4896"/>
            <w:vAlign w:val="center"/>
            <w:tcMar>
              <w:top w:w="90" w:type="dxa"/>
              <w:start w:w="100" w:type="dxa"/>
              <w:bottom w:w="90" w:type="dxa"/>
              <w:end w:w="100" w:type="dxa"/>
            </w:tcMar>
            <w:shd w:fill="18304A"/>
          </w:tcPr>
          <w:p>
            <w:pPr>
              <w:spacing w:after="20" w:before="20"/>
            </w:pPr>
            <w:r>
              <w:rPr>
                <w:rFonts w:ascii="Arial" w:hAnsi="Arial"/>
                <w:b/>
                <w:color w:val="FFFFFF"/>
                <w:sz w:val="16"/>
              </w:rPr>
              <w:t>Expected result</w:t>
            </w:r>
          </w:p>
        </w:tc>
      </w:tr>
      <w:tr>
        <w:tc>
          <w:tcPr>
            <w:tcW w:type="dxa" w:w="1944"/>
            <w:vAlign w:val="center"/>
            <w:tcMar>
              <w:top w:w="90" w:type="dxa"/>
              <w:start w:w="100" w:type="dxa"/>
              <w:bottom w:w="90" w:type="dxa"/>
              <w:end w:w="100" w:type="dxa"/>
            </w:tcMar>
          </w:tcPr>
          <w:p>
            <w:pPr>
              <w:spacing w:after="20" w:before="20"/>
            </w:pPr>
            <w:r>
              <w:rPr>
                <w:rFonts w:ascii="Arial" w:hAnsi="Arial"/>
                <w:sz w:val="16"/>
              </w:rPr>
              <w:t>Successful lookup</w:t>
            </w:r>
          </w:p>
        </w:tc>
        <w:tc>
          <w:tcPr>
            <w:tcW w:type="dxa" w:w="3528"/>
            <w:vAlign w:val="center"/>
            <w:tcMar>
              <w:top w:w="90" w:type="dxa"/>
              <w:start w:w="100" w:type="dxa"/>
              <w:bottom w:w="90" w:type="dxa"/>
              <w:end w:w="100" w:type="dxa"/>
            </w:tcMar>
          </w:tcPr>
          <w:p>
            <w:pPr>
              <w:spacing w:after="20" w:before="20"/>
            </w:pPr>
            <w:r>
              <w:rPr>
                <w:rFonts w:ascii="Arial" w:hAnsi="Arial"/>
                <w:sz w:val="16"/>
              </w:rPr>
              <w:t>POST JSON: {"name":"Merlin","countryCode":"IN"}.</w:t>
            </w:r>
          </w:p>
        </w:tc>
        <w:tc>
          <w:tcPr>
            <w:tcW w:type="dxa" w:w="4896"/>
            <w:vAlign w:val="center"/>
            <w:tcMar>
              <w:top w:w="90" w:type="dxa"/>
              <w:start w:w="100" w:type="dxa"/>
              <w:bottom w:w="90" w:type="dxa"/>
              <w:end w:w="100" w:type="dxa"/>
            </w:tcMar>
          </w:tcPr>
          <w:p>
            <w:pPr>
              <w:spacing w:after="20" w:before="20"/>
            </w:pPr>
            <w:r>
              <w:rPr>
                <w:rFonts w:ascii="Arial" w:hAnsi="Arial"/>
                <w:sz w:val="16"/>
              </w:rPr>
              <w:t>HTTP 200; countryName is India, customer status is ACTIVE, and the response identifies the API-led path.</w:t>
            </w:r>
          </w:p>
        </w:tc>
      </w:tr>
      <w:tr>
        <w:tc>
          <w:tcPr>
            <w:tcW w:type="dxa" w:w="1944"/>
            <w:vAlign w:val="center"/>
            <w:tcMar>
              <w:top w:w="90" w:type="dxa"/>
              <w:start w:w="100" w:type="dxa"/>
              <w:bottom w:w="90" w:type="dxa"/>
              <w:end w:w="100" w:type="dxa"/>
            </w:tcMar>
            <w:shd w:fill="F3F6F9"/>
          </w:tcPr>
          <w:p>
            <w:pPr>
              <w:spacing w:after="20" w:before="20"/>
            </w:pPr>
            <w:r>
              <w:rPr>
                <w:rFonts w:ascii="Arial" w:hAnsi="Arial"/>
                <w:sz w:val="16"/>
              </w:rPr>
              <w:t>Supported country</w:t>
            </w:r>
          </w:p>
        </w:tc>
        <w:tc>
          <w:tcPr>
            <w:tcW w:type="dxa" w:w="3528"/>
            <w:vAlign w:val="center"/>
            <w:tcMar>
              <w:top w:w="90" w:type="dxa"/>
              <w:start w:w="100" w:type="dxa"/>
              <w:bottom w:w="90" w:type="dxa"/>
              <w:end w:w="100" w:type="dxa"/>
            </w:tcMar>
            <w:shd w:fill="F3F6F9"/>
          </w:tcPr>
          <w:p>
            <w:pPr>
              <w:spacing w:after="20" w:before="20"/>
            </w:pPr>
            <w:r>
              <w:rPr>
                <w:rFonts w:ascii="Arial" w:hAnsi="Arial"/>
                <w:sz w:val="16"/>
              </w:rPr>
              <w:t>Repeat with countryCode CA, GB, or US.</w:t>
            </w:r>
          </w:p>
        </w:tc>
        <w:tc>
          <w:tcPr>
            <w:tcW w:type="dxa" w:w="4896"/>
            <w:vAlign w:val="center"/>
            <w:tcMar>
              <w:top w:w="90" w:type="dxa"/>
              <w:start w:w="100" w:type="dxa"/>
              <w:bottom w:w="90" w:type="dxa"/>
              <w:end w:w="100" w:type="dxa"/>
            </w:tcMar>
            <w:shd w:fill="F3F6F9"/>
          </w:tcPr>
          <w:p>
            <w:pPr>
              <w:spacing w:after="20" w:before="20"/>
            </w:pPr>
            <w:r>
              <w:rPr>
                <w:rFonts w:ascii="Arial" w:hAnsi="Arial"/>
                <w:sz w:val="16"/>
              </w:rPr>
              <w:t>HTTP 200; countryCode is accepted and the returned countryName matches the selected code.</w:t>
            </w:r>
          </w:p>
        </w:tc>
      </w:tr>
      <w:tr>
        <w:tc>
          <w:tcPr>
            <w:tcW w:type="dxa" w:w="1944"/>
            <w:vAlign w:val="center"/>
            <w:tcMar>
              <w:top w:w="90" w:type="dxa"/>
              <w:start w:w="100" w:type="dxa"/>
              <w:bottom w:w="90" w:type="dxa"/>
              <w:end w:w="100" w:type="dxa"/>
            </w:tcMar>
          </w:tcPr>
          <w:p>
            <w:pPr>
              <w:spacing w:after="20" w:before="20"/>
            </w:pPr>
            <w:r>
              <w:rPr>
                <w:rFonts w:ascii="Arial" w:hAnsi="Arial"/>
                <w:sz w:val="16"/>
              </w:rPr>
              <w:t>Name whitespace</w:t>
            </w:r>
          </w:p>
        </w:tc>
        <w:tc>
          <w:tcPr>
            <w:tcW w:type="dxa" w:w="3528"/>
            <w:vAlign w:val="center"/>
            <w:tcMar>
              <w:top w:w="90" w:type="dxa"/>
              <w:start w:w="100" w:type="dxa"/>
              <w:bottom w:w="90" w:type="dxa"/>
              <w:end w:w="100" w:type="dxa"/>
            </w:tcMar>
          </w:tcPr>
          <w:p>
            <w:pPr>
              <w:spacing w:after="20" w:before="20"/>
            </w:pPr>
            <w:r>
              <w:rPr>
                <w:rFonts w:ascii="Arial" w:hAnsi="Arial"/>
                <w:sz w:val="16"/>
              </w:rPr>
              <w:t>Send name with leading/trailing spaces, e.g. "  Merlin  ".</w:t>
            </w:r>
          </w:p>
        </w:tc>
        <w:tc>
          <w:tcPr>
            <w:tcW w:type="dxa" w:w="4896"/>
            <w:vAlign w:val="center"/>
            <w:tcMar>
              <w:top w:w="90" w:type="dxa"/>
              <w:start w:w="100" w:type="dxa"/>
              <w:bottom w:w="90" w:type="dxa"/>
              <w:end w:w="100" w:type="dxa"/>
            </w:tcMar>
          </w:tcPr>
          <w:p>
            <w:pPr>
              <w:spacing w:after="20" w:before="20"/>
            </w:pPr>
            <w:r>
              <w:rPr>
                <w:rFonts w:ascii="Arial" w:hAnsi="Arial"/>
                <w:sz w:val="16"/>
              </w:rPr>
              <w:t>The Experience API normalizes the name; response uses the trimmed name.</w:t>
            </w:r>
          </w:p>
        </w:tc>
      </w:tr>
      <w:tr>
        <w:tc>
          <w:tcPr>
            <w:tcW w:type="dxa" w:w="1944"/>
            <w:vAlign w:val="center"/>
            <w:tcMar>
              <w:top w:w="90" w:type="dxa"/>
              <w:start w:w="100" w:type="dxa"/>
              <w:bottom w:w="90" w:type="dxa"/>
              <w:end w:w="100" w:type="dxa"/>
            </w:tcMar>
            <w:shd w:fill="F3F6F9"/>
          </w:tcPr>
          <w:p>
            <w:pPr>
              <w:spacing w:after="20" w:before="20"/>
            </w:pPr>
            <w:r>
              <w:rPr>
                <w:rFonts w:ascii="Arial" w:hAnsi="Arial"/>
                <w:sz w:val="16"/>
              </w:rPr>
              <w:t>Missing or empty name</w:t>
            </w:r>
          </w:p>
        </w:tc>
        <w:tc>
          <w:tcPr>
            <w:tcW w:type="dxa" w:w="3528"/>
            <w:vAlign w:val="center"/>
            <w:tcMar>
              <w:top w:w="90" w:type="dxa"/>
              <w:start w:w="100" w:type="dxa"/>
              <w:bottom w:w="90" w:type="dxa"/>
              <w:end w:w="100" w:type="dxa"/>
            </w:tcMar>
            <w:shd w:fill="F3F6F9"/>
          </w:tcPr>
          <w:p>
            <w:pPr>
              <w:spacing w:after="20" w:before="20"/>
            </w:pPr>
            <w:r>
              <w:rPr>
                <w:rFonts w:ascii="Arial" w:hAnsi="Arial"/>
                <w:sz w:val="16"/>
              </w:rPr>
              <w:t>Omit name or send an empty string.</w:t>
            </w:r>
          </w:p>
        </w:tc>
        <w:tc>
          <w:tcPr>
            <w:tcW w:type="dxa" w:w="4896"/>
            <w:vAlign w:val="center"/>
            <w:tcMar>
              <w:top w:w="90" w:type="dxa"/>
              <w:start w:w="100" w:type="dxa"/>
              <w:bottom w:w="90" w:type="dxa"/>
              <w:end w:w="100" w:type="dxa"/>
            </w:tcMar>
            <w:shd w:fill="F3F6F9"/>
          </w:tcPr>
          <w:p>
            <w:pPr>
              <w:spacing w:after="20" w:before="20"/>
            </w:pPr>
            <w:r>
              <w:rPr>
                <w:rFonts w:ascii="Arial" w:hAnsi="Arial"/>
                <w:sz w:val="16"/>
              </w:rPr>
              <w:t>RAML request validation rejects the request; inspect the client response for a 4xx validation error.</w:t>
            </w:r>
          </w:p>
        </w:tc>
      </w:tr>
      <w:tr>
        <w:tc>
          <w:tcPr>
            <w:tcW w:type="dxa" w:w="1944"/>
            <w:vAlign w:val="center"/>
            <w:tcMar>
              <w:top w:w="90" w:type="dxa"/>
              <w:start w:w="100" w:type="dxa"/>
              <w:bottom w:w="90" w:type="dxa"/>
              <w:end w:w="100" w:type="dxa"/>
            </w:tcMar>
          </w:tcPr>
          <w:p>
            <w:pPr>
              <w:spacing w:after="20" w:before="20"/>
            </w:pPr>
            <w:r>
              <w:rPr>
                <w:rFonts w:ascii="Arial" w:hAnsi="Arial"/>
                <w:sz w:val="16"/>
              </w:rPr>
              <w:t>Unsupported country code</w:t>
            </w:r>
          </w:p>
        </w:tc>
        <w:tc>
          <w:tcPr>
            <w:tcW w:type="dxa" w:w="3528"/>
            <w:vAlign w:val="center"/>
            <w:tcMar>
              <w:top w:w="90" w:type="dxa"/>
              <w:start w:w="100" w:type="dxa"/>
              <w:bottom w:w="90" w:type="dxa"/>
              <w:end w:w="100" w:type="dxa"/>
            </w:tcMar>
          </w:tcPr>
          <w:p>
            <w:pPr>
              <w:spacing w:after="20" w:before="20"/>
            </w:pPr>
            <w:r>
              <w:rPr>
                <w:rFonts w:ascii="Arial" w:hAnsi="Arial"/>
                <w:sz w:val="16"/>
              </w:rPr>
              <w:t>Send a code outside US, IN, CA, GB, such as ZZ.</w:t>
            </w:r>
          </w:p>
        </w:tc>
        <w:tc>
          <w:tcPr>
            <w:tcW w:type="dxa" w:w="4896"/>
            <w:vAlign w:val="center"/>
            <w:tcMar>
              <w:top w:w="90" w:type="dxa"/>
              <w:start w:w="100" w:type="dxa"/>
              <w:bottom w:w="90" w:type="dxa"/>
              <w:end w:w="100" w:type="dxa"/>
            </w:tcMar>
          </w:tcPr>
          <w:p>
            <w:pPr>
              <w:spacing w:after="20" w:before="20"/>
            </w:pPr>
            <w:r>
              <w:rPr>
                <w:rFonts w:ascii="Arial" w:hAnsi="Arial"/>
                <w:sz w:val="16"/>
              </w:rPr>
              <w:t>RAML request validation rejects the request; inspect the client response for a 4xx validation error.</w:t>
            </w:r>
          </w:p>
        </w:tc>
      </w:tr>
      <w:tr>
        <w:tc>
          <w:tcPr>
            <w:tcW w:type="dxa" w:w="1944"/>
            <w:vAlign w:val="center"/>
            <w:tcMar>
              <w:top w:w="90" w:type="dxa"/>
              <w:start w:w="100" w:type="dxa"/>
              <w:bottom w:w="90" w:type="dxa"/>
              <w:end w:w="100" w:type="dxa"/>
            </w:tcMar>
            <w:shd w:fill="F3F6F9"/>
          </w:tcPr>
          <w:p>
            <w:pPr>
              <w:spacing w:after="20" w:before="20"/>
            </w:pPr>
            <w:r>
              <w:rPr>
                <w:rFonts w:ascii="Arial" w:hAnsi="Arial"/>
                <w:sz w:val="16"/>
              </w:rPr>
              <w:t>Downstream API unavailable</w:t>
            </w:r>
          </w:p>
        </w:tc>
        <w:tc>
          <w:tcPr>
            <w:tcW w:type="dxa" w:w="3528"/>
            <w:vAlign w:val="center"/>
            <w:tcMar>
              <w:top w:w="90" w:type="dxa"/>
              <w:start w:w="100" w:type="dxa"/>
              <w:bottom w:w="90" w:type="dxa"/>
              <w:end w:w="100" w:type="dxa"/>
            </w:tcMar>
            <w:shd w:fill="F3F6F9"/>
          </w:tcPr>
          <w:p>
            <w:pPr>
              <w:spacing w:after="20" w:before="20"/>
            </w:pPr>
            <w:r>
              <w:rPr>
                <w:rFonts w:ascii="Arial" w:hAnsi="Arial"/>
                <w:sz w:val="16"/>
              </w:rPr>
              <w:t>Stop the System API, then submit a valid request through the Experience API.</w:t>
            </w:r>
          </w:p>
        </w:tc>
        <w:tc>
          <w:tcPr>
            <w:tcW w:type="dxa" w:w="4896"/>
            <w:vAlign w:val="center"/>
            <w:tcMar>
              <w:top w:w="90" w:type="dxa"/>
              <w:start w:w="100" w:type="dxa"/>
              <w:bottom w:w="90" w:type="dxa"/>
              <w:end w:w="100" w:type="dxa"/>
            </w:tcMar>
            <w:shd w:fill="F3F6F9"/>
          </w:tcPr>
          <w:p>
            <w:pPr>
              <w:spacing w:after="20" w:before="20"/>
            </w:pPr>
            <w:r>
              <w:rPr>
                <w:rFonts w:ascii="Arial" w:hAnsi="Arial"/>
                <w:sz w:val="16"/>
              </w:rPr>
              <w:t>The request fails as a downstream error; verify the error response and relevant Process/System API logs. Restart the System API afterward.</w:t>
            </w:r>
          </w:p>
        </w:tc>
      </w:tr>
    </w:tbl>
    <w:p>
      <w:pPr>
        <w:pStyle w:val="Heading2"/>
      </w:pPr>
      <w:r>
        <w:t>Repeatable success request</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curl -i -X POST 'http://localhost:8083/api/customer' \</w:t>
            </w:r>
            <w:r>
              <w:br/>
            </w:r>
            <w:r>
              <w:rPr>
                <w:rFonts w:ascii="Courier New" w:hAnsi="Courier New"/>
                <w:color w:val="263C50"/>
                <w:sz w:val="16"/>
              </w:rPr>
              <w:t xml:space="preserve">  -H 'Content-Type: application/json' \</w:t>
            </w:r>
            <w:r>
              <w:br/>
            </w:r>
            <w:r>
              <w:rPr>
                <w:rFonts w:ascii="Courier New" w:hAnsi="Courier New"/>
                <w:color w:val="263C50"/>
                <w:sz w:val="16"/>
              </w:rPr>
              <w:t xml:space="preserve">  -d '{"name":"Merlin","countryCode":"IN"}'</w:t>
            </w:r>
          </w:p>
        </w:tc>
      </w:tr>
    </w:tbl>
    <w:p>
      <w:pPr>
        <w:spacing w:after="20"/>
      </w:pPr>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CHECK THE FULL PATH  </w:t>
            </w:r>
            <w:r>
              <w:t>A successful UI result alone is not enough to confirm every layer. Correlate the request with the Experience, Process, and System API logs, and verify the returned country and mock customer fields.</w:t>
            </w:r>
          </w:p>
        </w:tc>
      </w:tr>
    </w:tbl>
    <w:p>
      <w:r>
        <w:br w:type="page"/>
      </w:r>
    </w:p>
    <w:p>
      <w:bookmarkStart w:id="9" w:name="local_release"/>
      <w:pPr>
        <w:pStyle w:val="Heading1"/>
      </w:pPr>
      <w:r>
        <w:t>Local Development and Release</w:t>
      </w:r>
      <w:bookmarkEnd w:id="9"/>
    </w:p>
    <w:p>
      <w:pPr>
        <w:pStyle w:val="Heading2"/>
      </w:pPr>
      <w:r>
        <w:t>Run the local sample</w:t>
      </w:r>
    </w:p>
    <w:p>
      <w:r>
        <w:t>Start the three Mule applications from Anypoint Studio. Then start the React development server in a terminal:</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cd reactJS-project</w:t>
            </w:r>
            <w:r>
              <w:br/>
            </w:r>
            <w:r>
              <w:rPr>
                <w:rFonts w:ascii="Courier New" w:hAnsi="Courier New"/>
                <w:color w:val="263C50"/>
                <w:sz w:val="16"/>
              </w:rPr>
              <w:t>npm install</w:t>
            </w:r>
            <w:r>
              <w:br/>
            </w:r>
            <w:r>
              <w:rPr>
                <w:rFonts w:ascii="Courier New" w:hAnsi="Courier New"/>
                <w:color w:val="263C50"/>
                <w:sz w:val="16"/>
              </w:rPr>
              <w:t>npm run dev</w:t>
            </w:r>
          </w:p>
        </w:tc>
      </w:tr>
    </w:tbl>
    <w:p>
      <w:pPr>
        <w:spacing w:after="20"/>
      </w:pPr>
    </w:p>
    <w:p>
      <w:r>
        <w:t>Open the local Vite URL (typically http://localhost:5173), enter a name, choose a country, and submit. The Vite proxy sends /api/customer to the Experience API at 127.0.0.1:8083.</w:t>
      </w:r>
    </w:p>
    <w:p>
      <w:pPr>
        <w:pStyle w:val="Heading2"/>
      </w:pPr>
      <w:r>
        <w:t>Build, publish, and deploy</w:t>
      </w:r>
    </w:p>
    <w:p>
      <w:r>
        <w:t>For a new release, increment the Mule application versions before publishing; Exchange release versions are immutable. Store Connected App credentials in a local secret manager or CI secret store, not in Git.</w:t>
      </w:r>
    </w:p>
    <w:tbl>
      <w:tblPr>
        <w:tblW w:type="auto" w:w="0"/>
        <w:jc w:val="center"/>
        <w:tblLayout w:type="fixed"/>
        <w:tblLook w:firstColumn="1" w:firstRow="1" w:lastColumn="0" w:lastRow="0" w:noHBand="0" w:noVBand="1" w:val="04A0"/>
        <w:tblBorders>
          <w:top w:val="single" w:sz="4" w:color="E1E8EC"/>
          <w:left w:val="single" w:sz="4" w:color="E1E8EC"/>
          <w:bottom w:val="single" w:sz="4" w:color="E1E8EC"/>
          <w:right w:val="single" w:sz="4" w:color="E1E8EC"/>
          <w:insideH w:val="single" w:sz="4" w:color="E1E8EC"/>
          <w:insideV w:val="single" w:sz="4" w:color="E1E8EC"/>
        </w:tblBorders>
      </w:tblPr>
      <w:tblGrid>
        <w:gridCol w:w="10152"/>
      </w:tblGrid>
      <w:tr>
        <w:tc>
          <w:tcPr>
            <w:tcW w:type="dxa" w:w="10152"/>
            <w:shd w:fill="F1F5F7"/>
            <w:tcMar>
              <w:top w:w="110" w:type="dxa"/>
              <w:start w:w="150" w:type="dxa"/>
              <w:bottom w:w="110" w:type="dxa"/>
              <w:end w:w="150" w:type="dxa"/>
            </w:tcMar>
          </w:tcPr>
          <w:p>
            <w:pPr>
              <w:spacing w:after="0" w:line="240" w:lineRule="auto"/>
            </w:pPr>
            <w:r>
              <w:rPr>
                <w:rFonts w:ascii="Courier New" w:hAnsi="Courier New"/>
                <w:color w:val="263C50"/>
                <w:sz w:val="16"/>
              </w:rPr>
              <w:t>./deployment/scripts/build-mule-artifacts.sh</w:t>
            </w:r>
            <w:r>
              <w:br/>
            </w:r>
            <w:r>
              <w:rPr>
                <w:rFonts w:ascii="Courier New" w:hAnsi="Courier New"/>
                <w:color w:val="263C50"/>
                <w:sz w:val="16"/>
              </w:rPr>
              <w:t>./deployment/scripts/publish-mule-artifacts.sh</w:t>
            </w:r>
            <w:r>
              <w:br/>
            </w:r>
            <w:r>
              <w:rPr>
                <w:rFonts w:ascii="Courier New" w:hAnsi="Courier New"/>
                <w:color w:val="263C50"/>
                <w:sz w:val="16"/>
              </w:rPr>
              <w:t>./deployment/scripts/deploy-system-api-cloudhub2.sh</w:t>
            </w:r>
            <w:r>
              <w:br/>
            </w:r>
            <w:r>
              <w:rPr>
                <w:rFonts w:ascii="Courier New" w:hAnsi="Courier New"/>
                <w:color w:val="263C50"/>
                <w:sz w:val="16"/>
              </w:rPr>
              <w:t>export SYSTEM_API_HOST="&lt;system-api-host-from-runtime-manager&gt;"</w:t>
            </w:r>
            <w:r>
              <w:br/>
            </w:r>
            <w:r>
              <w:rPr>
                <w:rFonts w:ascii="Courier New" w:hAnsi="Courier New"/>
                <w:color w:val="263C50"/>
                <w:sz w:val="16"/>
              </w:rPr>
              <w:t>./deployment/scripts/deploy-process-api-cloudhub2.sh</w:t>
            </w:r>
            <w:r>
              <w:br/>
            </w:r>
            <w:r>
              <w:rPr>
                <w:rFonts w:ascii="Courier New" w:hAnsi="Courier New"/>
                <w:color w:val="263C50"/>
                <w:sz w:val="16"/>
              </w:rPr>
              <w:t>export PROCESS_API_HOST="&lt;process-api-host-from-runtime-manager&gt;"</w:t>
            </w:r>
            <w:r>
              <w:br/>
            </w:r>
            <w:r>
              <w:rPr>
                <w:rFonts w:ascii="Courier New" w:hAnsi="Courier New"/>
                <w:color w:val="263C50"/>
                <w:sz w:val="16"/>
              </w:rPr>
              <w:t>./deployment/scripts/deploy-experience-api-cloudhub2.sh</w:t>
            </w:r>
          </w:p>
        </w:tc>
      </w:tr>
    </w:tbl>
    <w:p>
      <w:pPr>
        <w:spacing w:after="20"/>
      </w:pPr>
    </w:p>
    <w:p>
      <w:r>
        <w:t>Deploy in dependency order: System API, then Process API, then Experience API. Set each downstream host from Runtime Manager before deploying the API that calls it. The React site has a separate static-site build and optional S3/CloudFront deployment script.</w:t>
      </w:r>
    </w:p>
    <w:p>
      <w:pPr>
        <w:pStyle w:val="Heading2"/>
      </w:pPr>
      <w:r>
        <w:t>Configuration and secrets</w:t>
      </w:r>
    </w:p>
    <w:p>
      <w:pPr>
        <w:pStyle w:val="ListBullet"/>
        <w:spacing w:after="60"/>
      </w:pPr>
      <w:r>
        <w:t>Keep client IDs and secrets out of source files, screenshots, and Git history.</w:t>
      </w:r>
    </w:p>
    <w:p>
      <w:pPr>
        <w:pStyle w:val="ListBullet"/>
        <w:spacing w:after="60"/>
      </w:pPr>
      <w:r>
        <w:t>Use local 127.0.0.1 properties for Studio and CloudHub host properties for deployed apps.</w:t>
      </w:r>
    </w:p>
    <w:p>
      <w:pPr>
        <w:pStyle w:val="ListBullet"/>
        <w:spacing w:after="60"/>
      </w:pPr>
      <w:r>
        <w:t>Review the generated deployment property set when new runtime settings are added.</w:t>
      </w:r>
    </w:p>
    <w:p>
      <w:r>
        <w:br w:type="page"/>
      </w:r>
    </w:p>
    <w:p>
      <w:bookmarkStart w:id="10" w:name="platform_evidence"/>
      <w:pPr>
        <w:pStyle w:val="Heading1"/>
      </w:pPr>
      <w:r>
        <w:t>Exchange and CloudHub Evidence</w:t>
      </w:r>
      <w:bookmarkEnd w:id="10"/>
    </w:p>
    <w:p>
      <w:r>
        <w:t>The supplied screenshots show the project’s Mule API assets in the ABC Exchange business group and the three Mule applications running in the Sandbox environment at the time of capture.</w:t>
      </w:r>
    </w:p>
    <w:p>
      <w:pPr>
        <w:spacing w:before="80" w:after="40"/>
        <w:jc w:val="center"/>
      </w:pPr>
      <w:r>
        <w:drawing>
          <wp:inline xmlns:a="http://schemas.openxmlformats.org/drawingml/2006/main" xmlns:pic="http://schemas.openxmlformats.org/drawingml/2006/picture">
            <wp:extent cx="6217920" cy="2950615"/>
            <wp:docPr id="4" name="Picture 4" descr="Anypoint Exchange ABC business group showing the three API assets and the System API application asset"/>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6217920" cy="2950615"/>
                    </a:xfrm>
                    <a:prstGeom prst="rect"/>
                  </pic:spPr>
                </pic:pic>
              </a:graphicData>
            </a:graphic>
          </wp:inline>
        </w:drawing>
      </w:r>
    </w:p>
    <w:p>
      <w:pPr>
        <w:spacing w:before="60" w:after="160"/>
        <w:jc w:val="center"/>
      </w:pPr>
      <w:r>
        <w:rPr>
          <w:rFonts w:ascii="Arial" w:hAnsi="Arial"/>
          <w:i/>
          <w:color w:val="5F7386"/>
          <w:sz w:val="16"/>
        </w:rPr>
        <w:t>Figure 1. API specifications and the System API application asset in Exchange</w:t>
      </w:r>
    </w:p>
    <w:p>
      <w:pPr>
        <w:spacing w:before="80" w:after="40"/>
        <w:jc w:val="center"/>
      </w:pPr>
      <w:r>
        <w:drawing>
          <wp:inline xmlns:a="http://schemas.openxmlformats.org/drawingml/2006/main" xmlns:pic="http://schemas.openxmlformats.org/drawingml/2006/picture">
            <wp:extent cx="6217920" cy="2101174"/>
            <wp:docPr id="5" name="Picture 5" descr="Runtime Manager Sandbox list showing Experience, Process, and System API applications running on CloudHub 2.0"/>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6217920" cy="2101174"/>
                    </a:xfrm>
                    <a:prstGeom prst="rect"/>
                  </pic:spPr>
                </pic:pic>
              </a:graphicData>
            </a:graphic>
          </wp:inline>
        </w:drawing>
      </w:r>
    </w:p>
    <w:p>
      <w:pPr>
        <w:spacing w:before="60" w:after="160"/>
        <w:jc w:val="center"/>
      </w:pPr>
      <w:r>
        <w:rPr>
          <w:rFonts w:ascii="Arial" w:hAnsi="Arial"/>
          <w:i/>
          <w:color w:val="5F7386"/>
          <w:sz w:val="16"/>
        </w:rPr>
        <w:t>Figure 2. Experience, Process, and System APIs shown as running in CloudHub 2.0</w:t>
      </w:r>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SCREENSHOT CONTEXT  </w:t>
            </w:r>
            <w:r>
              <w:t>These are point-in-time Sandbox captures. Confirm current application status and hostnames in Runtime Manager before testing or promoting a release.</w:t>
            </w:r>
          </w:p>
        </w:tc>
      </w:tr>
    </w:tbl>
    <w:p>
      <w:r>
        <w:br w:type="page"/>
      </w:r>
    </w:p>
    <w:p>
      <w:bookmarkStart w:id="11" w:name="portfolio_scope"/>
      <w:pPr>
        <w:pStyle w:val="Heading1"/>
      </w:pPr>
      <w:r>
        <w:t>Portfolio Scope and Next Steps</w:t>
      </w:r>
      <w:bookmarkEnd w:id="11"/>
    </w:p>
    <w:p>
      <w:pPr>
        <w:pStyle w:val="Heading2"/>
      </w:pPr>
      <w:r>
        <w:t>What this sample demonstrates today</w:t>
      </w:r>
    </w:p>
    <w:p>
      <w:r>
        <w:t>The project demonstrates a ReactJS front end, API-led MuleSoft layers, RAML contracts, APIkit routing, Mule flow orchestration, DataWeave transformations, Exchange publishing, and CloudHub 2.0 deployment automation.</w:t>
      </w:r>
    </w:p>
    <w:p>
      <w:pPr>
        <w:pStyle w:val="Heading2"/>
      </w:pPr>
      <w:r>
        <w:t>Current scope</w:t>
      </w:r>
    </w:p>
    <w:p>
      <w:r>
        <w:t>The backend is mock data and the deployment scripts are a learning workflow. The repository should not be described as a live Salesforce integration or as a production-ready customer-data platform unless those capabilities are added and validated.</w:t>
      </w:r>
    </w:p>
    <w:p>
      <w:pPr>
        <w:pStyle w:val="Heading2"/>
      </w:pPr>
      <w:r>
        <w:t>Potential enterprise extensions</w:t>
      </w:r>
    </w:p>
    <w:p>
      <w:pPr>
        <w:pStyle w:val="ListBullet"/>
        <w:spacing w:after="60"/>
      </w:pPr>
      <w:r>
        <w:t>Replace the mock System API with a real backend connector and environment-specific connection configuration.</w:t>
      </w:r>
    </w:p>
    <w:p>
      <w:pPr>
        <w:pStyle w:val="ListBullet"/>
        <w:spacing w:after="60"/>
      </w:pPr>
      <w:r>
        <w:t>Add MUnit coverage for API flows, country mappings, error handling, and downstream failures.</w:t>
      </w:r>
    </w:p>
    <w:p>
      <w:pPr>
        <w:pStyle w:val="ListBullet"/>
        <w:spacing w:after="60"/>
      </w:pPr>
      <w:r>
        <w:t>Add API Manager policies, authentication, rate limits, and documented authorization requirements.</w:t>
      </w:r>
    </w:p>
    <w:p>
      <w:pPr>
        <w:pStyle w:val="ListBullet"/>
        <w:spacing w:after="60"/>
      </w:pPr>
      <w:r>
        <w:t>Add GitHub Actions for pull-request checks, release versioning, Exchange publication, and gated CloudHub deployment.</w:t>
      </w:r>
    </w:p>
    <w:p>
      <w:pPr>
        <w:pStyle w:val="ListBullet"/>
        <w:spacing w:after="60"/>
      </w:pPr>
      <w:r>
        <w:t>Add structured logging, dashboards, alerts, and a rollback procedure for deployed releases.</w:t>
      </w:r>
    </w:p>
    <w:p>
      <w:pPr>
        <w:pStyle w:val="Heading2"/>
      </w:pPr>
      <w:r>
        <w:t>Resume description</w:t>
      </w:r>
    </w:p>
    <w:tbl>
      <w:tblPr>
        <w:tblW w:type="auto" w:w="0"/>
        <w:jc w:val="center"/>
        <w:tblLayout w:type="fixed"/>
        <w:tblLook w:firstColumn="1" w:firstRow="1" w:lastColumn="0" w:lastRow="0" w:noHBand="0" w:noVBand="1" w:val="04A0"/>
        <w:tblBorders>
          <w:top w:val="single" w:sz="4" w:color="CDE5E1"/>
          <w:left w:val="single" w:sz="4" w:color="CDE5E1"/>
          <w:bottom w:val="single" w:sz="4" w:color="CDE5E1"/>
          <w:right w:val="single" w:sz="4" w:color="CDE5E1"/>
          <w:insideH w:val="single" w:sz="4" w:color="CDE5E1"/>
          <w:insideV w:val="single" w:sz="4" w:color="CDE5E1"/>
        </w:tblBorders>
      </w:tblPr>
      <w:tblGrid>
        <w:gridCol w:w="10080"/>
      </w:tblGrid>
      <w:tr>
        <w:tc>
          <w:tcPr>
            <w:tcW w:type="dxa" w:w="10080"/>
            <w:shd w:fill="E8F4F2"/>
            <w:tcMar>
              <w:top w:w="130" w:type="dxa"/>
              <w:start w:w="160" w:type="dxa"/>
              <w:bottom w:w="130" w:type="dxa"/>
              <w:end w:w="160" w:type="dxa"/>
            </w:tcMar>
          </w:tcPr>
          <w:p>
            <w:pPr>
              <w:spacing w:after="0"/>
            </w:pPr>
            <w:r>
              <w:rPr>
                <w:b/>
                <w:color w:val="087F84"/>
              </w:rPr>
              <w:t xml:space="preserve">PROJECT SUMMARY  </w:t>
            </w:r>
            <w:r>
              <w:t>Built a ReactJS customer experience integrated with a MuleSoft API-led architecture. Defined RAML contracts, routed requests with APIkit, transformed JSON with DataWeave, and automated Exchange and CloudHub 2.0 release steps.</w:t>
            </w:r>
          </w:p>
        </w:tc>
      </w:tr>
    </w:tbl>
    <w:sectPr w:rsidR="00FC693F" w:rsidRPr="0006063C" w:rsidSect="00034616">
      <w:headerReference w:type="default" r:id="rId9"/>
      <w:footerReference w:type="default" r:id="rId10"/>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7386"/>
        <w:sz w:val="16"/>
      </w:rPr>
      <w:t xml:space="preserve">Kingsly Bose  |  Portfolio sample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7386"/>
        <w:sz w:val="16"/>
      </w:rPr>
      <w:t>MULE + REACT CUSTOMER API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83B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18304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87F8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18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87F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Profile Integration Platform</dc:title>
  <dc:subject>MuleSoft and ReactJS portfolio project guide</dc:subject>
  <dc:creator>Kingsly Bose</dc:creator>
  <cp:keywords>MuleSoft, ReactJS, RAML, APIkit, Mule Flows, DataWeave, CloudHub 2.0</cp:keywords>
  <dc:description/>
  <cp:lastModifiedBy/>
  <cp:revision>1</cp:revision>
  <dcterms:created xsi:type="dcterms:W3CDTF">2013-12-23T23:15:00Z</dcterms:created>
  <dcterms:modified xsi:type="dcterms:W3CDTF">2013-12-23T23:15:00Z</dcterms:modified>
  <cp:category/>
</cp:coreProperties>
</file>