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ABE2E">
      <w:pPr>
        <w:spacing w:before="0" w:after="200" w:line="480" w:lineRule="auto"/>
      </w:pPr>
    </w:p>
    <w:p w14:paraId="2AA72500">
      <w:pPr>
        <w:spacing w:before="0" w:after="400" w:line="480" w:lineRule="auto"/>
        <w:jc w:val="center"/>
      </w:pPr>
      <w:r>
        <w:rPr>
          <w:rFonts w:ascii="Times New Roman" w:hAnsi="Times New Roman" w:eastAsia="Times New Roman" w:cs="Times New Roman"/>
          <w:b/>
          <w:bCs/>
          <w:caps w:val="0"/>
          <w:sz w:val="26"/>
          <w:szCs w:val="26"/>
        </w:rPr>
        <w:t>IN THE SUPREME COURT OF THE STATE OF WASHINGTON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F46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Pr>
          <w:p w14:paraId="0A396168">
            <w:pPr>
              <w:spacing w:before="0" w:after="0" w:line="480" w:lineRule="auto"/>
              <w:jc w:val="left"/>
            </w:pPr>
            <w:r>
              <w:rPr>
                <w:rFonts w:ascii="Times New Roman" w:hAnsi="Times New Roman" w:eastAsia="Times New Roman" w:cs="Times New Roman"/>
                <w:b w:val="0"/>
                <w:bCs w:val="0"/>
                <w:caps w:val="0"/>
                <w:sz w:val="24"/>
                <w:szCs w:val="24"/>
              </w:rPr>
              <w:t>ZACKARIAH JEREMIAH BENNETT,</w:t>
            </w:r>
          </w:p>
          <w:p w14:paraId="21568AD5">
            <w:pPr>
              <w:spacing w:before="0" w:after="0" w:line="480" w:lineRule="auto"/>
            </w:pPr>
          </w:p>
          <w:p w14:paraId="3EC14BED">
            <w:pPr>
              <w:spacing w:before="0" w:after="120" w:line="480" w:lineRule="auto"/>
              <w:jc w:val="right"/>
            </w:pPr>
            <w:r>
              <w:rPr>
                <w:rFonts w:ascii="Times New Roman" w:hAnsi="Times New Roman" w:eastAsia="Times New Roman" w:cs="Times New Roman"/>
                <w:b w:val="0"/>
                <w:bCs w:val="0"/>
                <w:caps w:val="0"/>
                <w:sz w:val="24"/>
                <w:szCs w:val="24"/>
              </w:rPr>
              <w:t>Petitioner,</w:t>
            </w:r>
          </w:p>
          <w:p w14:paraId="0905B969">
            <w:pPr>
              <w:spacing w:before="0" w:after="0" w:line="480" w:lineRule="auto"/>
            </w:pPr>
          </w:p>
          <w:p w14:paraId="2EA12194">
            <w:pPr>
              <w:spacing w:before="0" w:after="120" w:line="480" w:lineRule="auto"/>
              <w:jc w:val="center"/>
            </w:pPr>
            <w:r>
              <w:rPr>
                <w:rFonts w:ascii="Times New Roman" w:hAnsi="Times New Roman" w:eastAsia="Times New Roman" w:cs="Times New Roman"/>
                <w:b w:val="0"/>
                <w:bCs w:val="0"/>
                <w:caps w:val="0"/>
                <w:sz w:val="24"/>
                <w:szCs w:val="24"/>
              </w:rPr>
              <w:t>v.</w:t>
            </w:r>
          </w:p>
          <w:p w14:paraId="6D32EDC6">
            <w:pPr>
              <w:spacing w:before="0" w:after="0" w:line="480" w:lineRule="auto"/>
            </w:pPr>
          </w:p>
          <w:p w14:paraId="2F69A7EA">
            <w:pPr>
              <w:spacing w:before="0" w:after="0" w:line="480" w:lineRule="auto"/>
              <w:jc w:val="left"/>
            </w:pPr>
            <w:r>
              <w:rPr>
                <w:rFonts w:ascii="Times New Roman" w:hAnsi="Times New Roman" w:eastAsia="Times New Roman" w:cs="Times New Roman"/>
                <w:b w:val="0"/>
                <w:bCs w:val="0"/>
                <w:caps w:val="0"/>
                <w:sz w:val="24"/>
                <w:szCs w:val="24"/>
              </w:rPr>
              <w:t>MELVINA CATHERINE MANNING,</w:t>
            </w:r>
          </w:p>
          <w:p w14:paraId="2DEDC29F">
            <w:pPr>
              <w:spacing w:before="0" w:after="0" w:line="480" w:lineRule="auto"/>
            </w:pPr>
          </w:p>
          <w:p w14:paraId="32A88728">
            <w:pPr>
              <w:spacing w:before="0" w:after="0" w:line="480" w:lineRule="auto"/>
              <w:jc w:val="right"/>
            </w:pPr>
            <w:r>
              <w:rPr>
                <w:rFonts w:ascii="Times New Roman" w:hAnsi="Times New Roman" w:eastAsia="Times New Roman" w:cs="Times New Roman"/>
                <w:b w:val="0"/>
                <w:bCs w:val="0"/>
                <w:caps w:val="0"/>
                <w:sz w:val="24"/>
                <w:szCs w:val="24"/>
              </w:rPr>
              <w:t>Respondent.</w:t>
            </w:r>
          </w:p>
        </w:tc>
        <w:tc>
          <w:tcPr>
            <w:tcW w:w="4680" w:type="dxa"/>
            <w:tcBorders>
              <w:top w:val="nil"/>
              <w:left w:val="single" w:color="000000" w:sz="6" w:space="0"/>
              <w:bottom w:val="nil"/>
              <w:right w:val="nil"/>
            </w:tcBorders>
            <w:tcMar>
              <w:left w:w="200" w:type="dxa"/>
            </w:tcMar>
            <w:vAlign w:val="center"/>
          </w:tcPr>
          <w:p w14:paraId="092C21C8">
            <w:pPr>
              <w:spacing w:before="0" w:after="0" w:line="480" w:lineRule="auto"/>
              <w:jc w:val="left"/>
            </w:pPr>
            <w:r>
              <w:rPr>
                <w:rFonts w:ascii="Times New Roman" w:hAnsi="Times New Roman" w:eastAsia="Times New Roman" w:cs="Times New Roman"/>
                <w:b/>
                <w:bCs/>
                <w:caps w:val="0"/>
                <w:sz w:val="24"/>
                <w:szCs w:val="24"/>
              </w:rPr>
              <w:t>No. __________</w:t>
            </w:r>
          </w:p>
          <w:p w14:paraId="7C0E7089">
            <w:pPr>
              <w:spacing w:before="0" w:after="0" w:line="480" w:lineRule="auto"/>
            </w:pPr>
          </w:p>
          <w:p w14:paraId="3E4B6FC0">
            <w:pPr>
              <w:spacing w:before="0" w:after="0" w:line="480" w:lineRule="auto"/>
              <w:jc w:val="left"/>
            </w:pPr>
            <w:r>
              <w:rPr>
                <w:rFonts w:ascii="Times New Roman" w:hAnsi="Times New Roman" w:eastAsia="Times New Roman" w:cs="Times New Roman"/>
                <w:b w:val="0"/>
                <w:bCs w:val="0"/>
                <w:caps w:val="0"/>
                <w:sz w:val="24"/>
                <w:szCs w:val="24"/>
              </w:rPr>
              <w:t>Court of Appeals</w:t>
            </w:r>
          </w:p>
          <w:p w14:paraId="706CA44E">
            <w:pPr>
              <w:spacing w:before="0" w:after="0" w:line="480" w:lineRule="auto"/>
              <w:jc w:val="left"/>
            </w:pPr>
            <w:r>
              <w:rPr>
                <w:rFonts w:ascii="Times New Roman" w:hAnsi="Times New Roman" w:eastAsia="Times New Roman" w:cs="Times New Roman"/>
                <w:b w:val="0"/>
                <w:bCs w:val="0"/>
                <w:caps w:val="0"/>
                <w:sz w:val="24"/>
                <w:szCs w:val="24"/>
              </w:rPr>
              <w:t>No. 87007-6-I</w:t>
            </w:r>
          </w:p>
          <w:p w14:paraId="62BBE1DE">
            <w:pPr>
              <w:spacing w:before="0" w:after="0" w:line="480" w:lineRule="auto"/>
            </w:pPr>
          </w:p>
          <w:p w14:paraId="10FDABC8">
            <w:pPr>
              <w:spacing w:before="0" w:after="0" w:line="480" w:lineRule="auto"/>
              <w:jc w:val="left"/>
            </w:pPr>
            <w:r>
              <w:rPr>
                <w:rFonts w:ascii="Times New Roman" w:hAnsi="Times New Roman" w:eastAsia="Times New Roman" w:cs="Times New Roman"/>
                <w:b w:val="0"/>
                <w:bCs w:val="0"/>
                <w:caps w:val="0"/>
                <w:sz w:val="22"/>
                <w:szCs w:val="22"/>
              </w:rPr>
              <w:t>King County Superior Court</w:t>
            </w:r>
          </w:p>
          <w:p w14:paraId="53ACC84A">
            <w:pPr>
              <w:spacing w:before="0" w:after="0" w:line="480" w:lineRule="auto"/>
              <w:jc w:val="left"/>
            </w:pPr>
            <w:r>
              <w:rPr>
                <w:rFonts w:ascii="Times New Roman" w:hAnsi="Times New Roman" w:eastAsia="Times New Roman" w:cs="Times New Roman"/>
                <w:b w:val="0"/>
                <w:bCs w:val="0"/>
                <w:caps w:val="0"/>
                <w:sz w:val="22"/>
                <w:szCs w:val="22"/>
              </w:rPr>
              <w:t>No. 23-2-11352-7</w:t>
            </w:r>
          </w:p>
        </w:tc>
      </w:tr>
    </w:tbl>
    <w:p w14:paraId="5DB82744">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ascii="Times New Roman" w:hAnsi="Times New Roman" w:eastAsia="Times New Roman" w:cs="Times New Roman"/>
          <w:b/>
          <w:bCs/>
          <w:caps w:val="0"/>
          <w:sz w:val="28"/>
          <w:szCs w:val="28"/>
        </w:rPr>
      </w:pPr>
    </w:p>
    <w:p w14:paraId="52573422">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ascii="Times New Roman" w:hAnsi="Times New Roman" w:eastAsia="Times New Roman" w:cs="Times New Roman"/>
          <w:b/>
          <w:bCs/>
          <w:caps w:val="0"/>
          <w:sz w:val="28"/>
          <w:szCs w:val="28"/>
        </w:rPr>
      </w:pPr>
    </w:p>
    <w:p w14:paraId="7489EBC8">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ascii="Times New Roman" w:hAnsi="Times New Roman" w:eastAsia="Times New Roman" w:cs="Times New Roman"/>
          <w:b/>
          <w:bCs/>
          <w:caps w:val="0"/>
          <w:sz w:val="28"/>
          <w:szCs w:val="28"/>
        </w:rPr>
      </w:pPr>
    </w:p>
    <w:p w14:paraId="5DD21271">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ascii="Times New Roman" w:hAnsi="Times New Roman" w:eastAsia="Times New Roman" w:cs="Times New Roman"/>
          <w:b/>
          <w:bCs/>
          <w:caps w:val="0"/>
          <w:sz w:val="28"/>
          <w:szCs w:val="28"/>
        </w:rPr>
      </w:pPr>
      <w:r>
        <w:rPr>
          <w:rFonts w:ascii="Times New Roman" w:hAnsi="Times New Roman" w:eastAsia="Times New Roman" w:cs="Times New Roman"/>
          <w:b/>
          <w:bCs/>
          <w:caps w:val="0"/>
          <w:sz w:val="28"/>
          <w:szCs w:val="28"/>
        </w:rPr>
        <w:t>PETITION FOR REVIEW</w:t>
      </w:r>
    </w:p>
    <w:p w14:paraId="65D77F7F">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ascii="Times New Roman" w:hAnsi="Times New Roman" w:eastAsia="Times New Roman" w:cs="Times New Roman"/>
          <w:b/>
          <w:bCs/>
          <w:caps w:val="0"/>
          <w:sz w:val="28"/>
          <w:szCs w:val="28"/>
        </w:rPr>
      </w:pPr>
    </w:p>
    <w:p w14:paraId="6E9ED16D">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ascii="Times New Roman" w:hAnsi="Times New Roman" w:eastAsia="Times New Roman" w:cs="Times New Roman"/>
          <w:b w:val="0"/>
          <w:bCs w:val="0"/>
          <w:caps w:val="0"/>
          <w:sz w:val="24"/>
          <w:szCs w:val="24"/>
        </w:rPr>
      </w:pPr>
      <w:r>
        <w:rPr>
          <w:rFonts w:ascii="Times New Roman" w:hAnsi="Times New Roman" w:eastAsia="Times New Roman" w:cs="Times New Roman"/>
          <w:b w:val="0"/>
          <w:bCs w:val="0"/>
          <w:caps w:val="0"/>
          <w:sz w:val="24"/>
          <w:szCs w:val="24"/>
        </w:rPr>
        <w:t>Zackariah Jeremiah Bennett</w:t>
      </w:r>
    </w:p>
    <w:p w14:paraId="52D0E743">
      <w:pPr>
        <w:keepNext w:val="0"/>
        <w:keepLines w:val="0"/>
        <w:pageBreakBefore w:val="0"/>
        <w:widowControl/>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cs="Times New Roman"/>
          <w:b w:val="0"/>
          <w:bCs w:val="0"/>
          <w:caps w:val="0"/>
          <w:sz w:val="24"/>
          <w:szCs w:val="24"/>
        </w:rPr>
        <w:t>Pro Se, Indigent</w:t>
      </w:r>
    </w:p>
    <w:p w14:paraId="040D70F0">
      <w:pPr>
        <w:spacing w:before="0" w:after="0" w:line="240" w:lineRule="auto"/>
        <w:jc w:val="center"/>
      </w:pPr>
      <w:r>
        <w:rPr>
          <w:rFonts w:ascii="Times New Roman" w:hAnsi="Times New Roman" w:eastAsia="Times New Roman" w:cs="Times New Roman"/>
          <w:b w:val="0"/>
          <w:bCs w:val="0"/>
          <w:caps w:val="0"/>
          <w:sz w:val="24"/>
          <w:szCs w:val="24"/>
        </w:rPr>
        <w:t>17 Old Mountain Rd</w:t>
      </w:r>
    </w:p>
    <w:p w14:paraId="70AC0464">
      <w:pPr>
        <w:spacing w:before="0" w:after="0" w:line="240" w:lineRule="auto"/>
        <w:jc w:val="center"/>
      </w:pPr>
      <w:r>
        <w:rPr>
          <w:rFonts w:ascii="Times New Roman" w:hAnsi="Times New Roman" w:eastAsia="Times New Roman" w:cs="Times New Roman"/>
          <w:b w:val="0"/>
          <w:bCs w:val="0"/>
          <w:caps w:val="0"/>
          <w:sz w:val="24"/>
          <w:szCs w:val="24"/>
        </w:rPr>
        <w:t>Goldendale, WA 98620</w:t>
      </w:r>
    </w:p>
    <w:p w14:paraId="5EC1C0C6">
      <w:pPr>
        <w:spacing w:before="0" w:after="0" w:line="480" w:lineRule="auto"/>
        <w:jc w:val="center"/>
      </w:pPr>
      <w:r>
        <w:rPr>
          <w:rFonts w:ascii="Times New Roman" w:hAnsi="Times New Roman" w:eastAsia="Times New Roman" w:cs="Times New Roman"/>
          <w:b w:val="0"/>
          <w:bCs w:val="0"/>
          <w:caps w:val="0"/>
          <w:sz w:val="24"/>
          <w:szCs w:val="24"/>
        </w:rPr>
        <w:t>zackjbennett@gmail.com</w:t>
      </w:r>
    </w:p>
    <w:p w14:paraId="6A6F575E">
      <w:pPr>
        <w:spacing w:line="480" w:lineRule="auto"/>
        <w:sectPr>
          <w:footerReference r:id="rId4" w:type="default"/>
          <w:pgSz w:w="12240" w:h="15840"/>
          <w:pgMar w:top="2160" w:right="2160" w:bottom="2160" w:left="2880" w:header="708" w:footer="706" w:gutter="0"/>
          <w:paperSrc/>
          <w:pgNumType w:fmt="decimal"/>
          <w:cols w:space="0" w:num="1"/>
          <w:rtlGutter w:val="0"/>
          <w:docGrid w:linePitch="360" w:charSpace="0"/>
        </w:sectPr>
      </w:pPr>
    </w:p>
    <w:p w14:paraId="522AB470">
      <w:pPr>
        <w:spacing w:before="0" w:after="300" w:line="480" w:lineRule="auto"/>
        <w:jc w:val="center"/>
      </w:pPr>
      <w:r>
        <w:rPr>
          <w:rFonts w:ascii="Times New Roman" w:hAnsi="Times New Roman" w:eastAsia="Times New Roman" w:cs="Times New Roman"/>
          <w:b/>
          <w:bCs/>
          <w:caps w:val="0"/>
          <w:sz w:val="26"/>
          <w:szCs w:val="26"/>
        </w:rPr>
        <w:t>TABLE OF CONTENTS</w:t>
      </w:r>
    </w:p>
    <w:p w14:paraId="6E577794">
      <w:pPr>
        <w:spacing w:before="0" w:after="0" w:line="480" w:lineRule="auto"/>
        <w:jc w:val="left"/>
      </w:pPr>
      <w:r>
        <w:rPr>
          <w:rFonts w:ascii="Times New Roman" w:hAnsi="Times New Roman" w:eastAsia="Times New Roman" w:cs="Times New Roman"/>
          <w:b w:val="0"/>
          <w:bCs w:val="0"/>
          <w:sz w:val="24"/>
          <w:szCs w:val="24"/>
        </w:rPr>
        <w:t xml:space="preserve">I.    Identity of Petitioner .................................................... </w:t>
      </w:r>
      <w:r>
        <w:rPr>
          <w:rFonts w:hint="default" w:cs="Times New Roman"/>
          <w:b w:val="0"/>
          <w:bCs w:val="0"/>
          <w:sz w:val="24"/>
          <w:szCs w:val="24"/>
          <w:lang w:val="en-US"/>
        </w:rPr>
        <w:t>4</w:t>
      </w:r>
    </w:p>
    <w:p w14:paraId="2FB3C3E8">
      <w:pPr>
        <w:spacing w:before="0" w:after="0" w:line="480" w:lineRule="auto"/>
        <w:jc w:val="left"/>
      </w:pPr>
      <w:r>
        <w:rPr>
          <w:rFonts w:ascii="Times New Roman" w:hAnsi="Times New Roman" w:eastAsia="Times New Roman" w:cs="Times New Roman"/>
          <w:b w:val="0"/>
          <w:bCs w:val="0"/>
          <w:sz w:val="24"/>
          <w:szCs w:val="24"/>
        </w:rPr>
        <w:t xml:space="preserve">II.   Citation to Court of Appeals Decision .............................. </w:t>
      </w:r>
      <w:r>
        <w:rPr>
          <w:rFonts w:hint="default" w:cs="Times New Roman"/>
          <w:b w:val="0"/>
          <w:bCs w:val="0"/>
          <w:sz w:val="24"/>
          <w:szCs w:val="24"/>
          <w:lang w:val="en-US"/>
        </w:rPr>
        <w:t>4</w:t>
      </w:r>
    </w:p>
    <w:p w14:paraId="6AAA2324">
      <w:pPr>
        <w:spacing w:before="0" w:after="0" w:line="480" w:lineRule="auto"/>
        <w:jc w:val="left"/>
      </w:pPr>
      <w:r>
        <w:rPr>
          <w:rFonts w:ascii="Times New Roman" w:hAnsi="Times New Roman" w:eastAsia="Times New Roman" w:cs="Times New Roman"/>
          <w:b w:val="0"/>
          <w:bCs w:val="0"/>
          <w:sz w:val="24"/>
          <w:szCs w:val="24"/>
        </w:rPr>
        <w:t xml:space="preserve">III.  Issues Presented for Review ........................................... </w:t>
      </w:r>
      <w:r>
        <w:rPr>
          <w:rFonts w:hint="default" w:cs="Times New Roman"/>
          <w:b w:val="0"/>
          <w:bCs w:val="0"/>
          <w:sz w:val="24"/>
          <w:szCs w:val="24"/>
          <w:lang w:val="en-US"/>
        </w:rPr>
        <w:t>4</w:t>
      </w:r>
    </w:p>
    <w:p w14:paraId="2800E3B6">
      <w:pPr>
        <w:spacing w:before="0" w:after="0" w:line="480" w:lineRule="auto"/>
        <w:jc w:val="left"/>
      </w:pPr>
      <w:r>
        <w:rPr>
          <w:rFonts w:ascii="Times New Roman" w:hAnsi="Times New Roman" w:eastAsia="Times New Roman" w:cs="Times New Roman"/>
          <w:b w:val="0"/>
          <w:bCs w:val="0"/>
          <w:sz w:val="24"/>
          <w:szCs w:val="24"/>
        </w:rPr>
        <w:t xml:space="preserve">IV.   Statement of the Case ................................................. </w:t>
      </w:r>
      <w:r>
        <w:rPr>
          <w:rFonts w:hint="default" w:cs="Times New Roman"/>
          <w:b w:val="0"/>
          <w:bCs w:val="0"/>
          <w:sz w:val="24"/>
          <w:szCs w:val="24"/>
          <w:lang w:val="en-US"/>
        </w:rPr>
        <w:t>5</w:t>
      </w:r>
    </w:p>
    <w:p w14:paraId="1E0A8DE1">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V.    Argument ....................................................................... </w:t>
      </w:r>
      <w:r>
        <w:rPr>
          <w:rFonts w:hint="default" w:cs="Times New Roman"/>
          <w:b w:val="0"/>
          <w:bCs w:val="0"/>
          <w:sz w:val="24"/>
          <w:szCs w:val="24"/>
          <w:lang w:val="en-US"/>
        </w:rPr>
        <w:t>13</w:t>
      </w:r>
    </w:p>
    <w:p w14:paraId="58D42280">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       A. Issue 1: CR 56 Structural Violation .............................. </w:t>
      </w:r>
      <w:r>
        <w:rPr>
          <w:rFonts w:hint="default" w:cs="Times New Roman"/>
          <w:b w:val="0"/>
          <w:bCs w:val="0"/>
          <w:sz w:val="24"/>
          <w:szCs w:val="24"/>
          <w:lang w:val="en-US"/>
        </w:rPr>
        <w:t>13</w:t>
      </w:r>
    </w:p>
    <w:p w14:paraId="112417DB">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       B. Issue 2: Unenforced Appellate Mandate .......................... </w:t>
      </w:r>
      <w:r>
        <w:rPr>
          <w:rFonts w:hint="default" w:cs="Times New Roman"/>
          <w:b w:val="0"/>
          <w:bCs w:val="0"/>
          <w:sz w:val="24"/>
          <w:szCs w:val="24"/>
          <w:lang w:val="en-US"/>
        </w:rPr>
        <w:t>16</w:t>
      </w:r>
    </w:p>
    <w:p w14:paraId="5EA0FD29">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       C. Issue 3: ER 201(d) and Due Process .............................. 1</w:t>
      </w:r>
      <w:r>
        <w:rPr>
          <w:rFonts w:hint="default" w:cs="Times New Roman"/>
          <w:b w:val="0"/>
          <w:bCs w:val="0"/>
          <w:sz w:val="24"/>
          <w:szCs w:val="24"/>
          <w:lang w:val="en-US"/>
        </w:rPr>
        <w:t>8</w:t>
      </w:r>
    </w:p>
    <w:p w14:paraId="73B16FFB">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       D. Issue 4: Collateral Estoppel ......................................... 2</w:t>
      </w:r>
      <w:r>
        <w:rPr>
          <w:rFonts w:hint="default" w:cs="Times New Roman"/>
          <w:b w:val="0"/>
          <w:bCs w:val="0"/>
          <w:sz w:val="24"/>
          <w:szCs w:val="24"/>
          <w:lang w:val="en-US"/>
        </w:rPr>
        <w:t>0</w:t>
      </w:r>
    </w:p>
    <w:p w14:paraId="75A2F897">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VI.   Conclusion ..................................................................... </w:t>
      </w:r>
      <w:r>
        <w:rPr>
          <w:rFonts w:hint="default" w:cs="Times New Roman"/>
          <w:b w:val="0"/>
          <w:bCs w:val="0"/>
          <w:sz w:val="24"/>
          <w:szCs w:val="24"/>
          <w:lang w:val="en-US"/>
        </w:rPr>
        <w:t>22</w:t>
      </w:r>
    </w:p>
    <w:p w14:paraId="7E77B273">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Appendix ............................................................................. </w:t>
      </w:r>
      <w:r>
        <w:rPr>
          <w:rFonts w:hint="default" w:cs="Times New Roman"/>
          <w:b w:val="0"/>
          <w:bCs w:val="0"/>
          <w:sz w:val="24"/>
          <w:szCs w:val="24"/>
          <w:lang w:val="en-US"/>
        </w:rPr>
        <w:t>24</w:t>
      </w:r>
    </w:p>
    <w:p w14:paraId="473C8DAB">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Certificate of Service ............................................................ </w:t>
      </w:r>
      <w:r>
        <w:rPr>
          <w:rFonts w:hint="default" w:cs="Times New Roman"/>
          <w:b w:val="0"/>
          <w:bCs w:val="0"/>
          <w:sz w:val="24"/>
          <w:szCs w:val="24"/>
          <w:lang w:val="en-US"/>
        </w:rPr>
        <w:t>29</w:t>
      </w:r>
    </w:p>
    <w:p w14:paraId="761F1647">
      <w:pPr>
        <w:spacing w:before="0" w:after="0" w:line="480" w:lineRule="auto"/>
        <w:jc w:val="left"/>
        <w:rPr>
          <w:rFonts w:hint="default"/>
          <w:lang w:val="en-US"/>
        </w:rPr>
      </w:pPr>
      <w:r>
        <w:rPr>
          <w:rFonts w:ascii="Times New Roman" w:hAnsi="Times New Roman" w:eastAsia="Times New Roman" w:cs="Times New Roman"/>
          <w:b w:val="0"/>
          <w:bCs w:val="0"/>
          <w:sz w:val="24"/>
          <w:szCs w:val="24"/>
        </w:rPr>
        <w:t xml:space="preserve">Word Count Certification ......................................................... </w:t>
      </w:r>
      <w:r>
        <w:rPr>
          <w:rFonts w:hint="default" w:cs="Times New Roman"/>
          <w:b w:val="0"/>
          <w:bCs w:val="0"/>
          <w:sz w:val="24"/>
          <w:szCs w:val="24"/>
          <w:lang w:val="en-US"/>
        </w:rPr>
        <w:t>30</w:t>
      </w:r>
    </w:p>
    <w:p w14:paraId="0D22E690">
      <w:pPr>
        <w:spacing w:before="0" w:after="400" w:line="480" w:lineRule="auto"/>
      </w:pPr>
    </w:p>
    <w:p w14:paraId="2CD7B829">
      <w:pPr>
        <w:spacing w:before="0" w:after="300" w:line="480" w:lineRule="auto"/>
        <w:jc w:val="center"/>
      </w:pPr>
      <w:r>
        <w:rPr>
          <w:rFonts w:ascii="Times New Roman" w:hAnsi="Times New Roman" w:eastAsia="Times New Roman" w:cs="Times New Roman"/>
          <w:b/>
          <w:bCs/>
          <w:caps w:val="0"/>
          <w:sz w:val="26"/>
          <w:szCs w:val="26"/>
        </w:rPr>
        <w:t>TABLE OF AUTHORITIES</w:t>
      </w:r>
    </w:p>
    <w:p w14:paraId="6DCC7E53">
      <w:pPr>
        <w:spacing w:before="0" w:after="120" w:line="480" w:lineRule="auto"/>
        <w:jc w:val="left"/>
      </w:pPr>
      <w:r>
        <w:rPr>
          <w:rFonts w:ascii="Times New Roman" w:hAnsi="Times New Roman" w:eastAsia="Times New Roman" w:cs="Times New Roman"/>
          <w:b/>
          <w:bCs/>
          <w:sz w:val="24"/>
          <w:szCs w:val="24"/>
          <w:u w:val="single"/>
        </w:rPr>
        <w:t>Washington Supreme Court Cases</w:t>
      </w:r>
    </w:p>
    <w:p w14:paraId="2F9F1B6F">
      <w:pPr>
        <w:spacing w:before="0" w:after="0" w:line="480" w:lineRule="auto"/>
        <w:jc w:val="left"/>
      </w:pPr>
      <w:r>
        <w:rPr>
          <w:rFonts w:ascii="Times New Roman" w:hAnsi="Times New Roman" w:eastAsia="Times New Roman" w:cs="Times New Roman"/>
          <w:b w:val="0"/>
          <w:bCs w:val="0"/>
          <w:sz w:val="22"/>
          <w:szCs w:val="22"/>
        </w:rPr>
        <w:t>Arkison v. Ethan Allen, Inc., 160 Wn.2d 535 (2007)</w:t>
      </w:r>
    </w:p>
    <w:p w14:paraId="48D9D630">
      <w:pPr>
        <w:spacing w:before="0" w:after="0" w:line="480" w:lineRule="auto"/>
        <w:jc w:val="left"/>
      </w:pPr>
      <w:r>
        <w:rPr>
          <w:rFonts w:ascii="Times New Roman" w:hAnsi="Times New Roman" w:eastAsia="Times New Roman" w:cs="Times New Roman"/>
          <w:b w:val="0"/>
          <w:bCs w:val="0"/>
          <w:sz w:val="22"/>
          <w:szCs w:val="22"/>
        </w:rPr>
        <w:t>Folsom v. Burger King, 135 Wn.2d 658, 958 P.2d 301 (1998)</w:t>
      </w:r>
    </w:p>
    <w:p w14:paraId="1BD6719F">
      <w:pPr>
        <w:spacing w:before="0" w:after="0" w:line="480" w:lineRule="auto"/>
        <w:jc w:val="left"/>
      </w:pPr>
      <w:r>
        <w:rPr>
          <w:rFonts w:ascii="Times New Roman" w:hAnsi="Times New Roman" w:eastAsia="Times New Roman" w:cs="Times New Roman"/>
          <w:b w:val="0"/>
          <w:bCs w:val="0"/>
          <w:sz w:val="22"/>
          <w:szCs w:val="22"/>
        </w:rPr>
        <w:t>Keck v. Collins, 184 Wn.2d 358, 357 P.3d 1080 (2015)</w:t>
      </w:r>
    </w:p>
    <w:p w14:paraId="3EBC3A22">
      <w:pPr>
        <w:spacing w:before="0" w:after="0" w:line="480" w:lineRule="auto"/>
        <w:jc w:val="left"/>
      </w:pPr>
      <w:r>
        <w:rPr>
          <w:rFonts w:ascii="Times New Roman" w:hAnsi="Times New Roman" w:eastAsia="Times New Roman" w:cs="Times New Roman"/>
          <w:b w:val="0"/>
          <w:bCs w:val="0"/>
          <w:sz w:val="22"/>
          <w:szCs w:val="22"/>
        </w:rPr>
        <w:t>Young v. Key Pharmaceuticals, Inc., 112 Wn.2d 216 (1989)</w:t>
      </w:r>
    </w:p>
    <w:p w14:paraId="3CEA30BA">
      <w:pPr>
        <w:spacing w:before="0" w:after="120" w:line="480" w:lineRule="auto"/>
      </w:pPr>
    </w:p>
    <w:p w14:paraId="4EF87613">
      <w:pPr>
        <w:spacing w:before="0" w:after="120" w:line="480" w:lineRule="auto"/>
        <w:jc w:val="left"/>
      </w:pPr>
      <w:r>
        <w:rPr>
          <w:rFonts w:ascii="Times New Roman" w:hAnsi="Times New Roman" w:eastAsia="Times New Roman" w:cs="Times New Roman"/>
          <w:b/>
          <w:bCs/>
          <w:sz w:val="24"/>
          <w:szCs w:val="24"/>
          <w:u w:val="single"/>
        </w:rPr>
        <w:t>Washington Court of Appeals Cases</w:t>
      </w:r>
    </w:p>
    <w:p w14:paraId="18C636FA">
      <w:pPr>
        <w:spacing w:before="0" w:after="0" w:line="480" w:lineRule="auto"/>
        <w:jc w:val="left"/>
      </w:pPr>
      <w:r>
        <w:rPr>
          <w:rFonts w:ascii="Times New Roman" w:hAnsi="Times New Roman" w:eastAsia="Times New Roman" w:cs="Times New Roman"/>
          <w:b w:val="0"/>
          <w:bCs w:val="0"/>
          <w:sz w:val="22"/>
          <w:szCs w:val="22"/>
        </w:rPr>
        <w:t>Bennett v. Manning, No. 84951-4-I (Div. One, 2023) (per curiam)</w:t>
      </w:r>
    </w:p>
    <w:p w14:paraId="7B78ECFC">
      <w:pPr>
        <w:spacing w:before="0" w:after="0" w:line="480" w:lineRule="auto"/>
        <w:jc w:val="left"/>
      </w:pPr>
      <w:r>
        <w:rPr>
          <w:rFonts w:ascii="Times New Roman" w:hAnsi="Times New Roman" w:eastAsia="Times New Roman" w:cs="Times New Roman"/>
          <w:b w:val="0"/>
          <w:bCs w:val="0"/>
          <w:sz w:val="22"/>
          <w:szCs w:val="22"/>
        </w:rPr>
        <w:t>Berry v. Crown Cork &amp; Seal Co., 103 Wn. App. 312, 14 P.3d 789 (2000)</w:t>
      </w:r>
    </w:p>
    <w:p w14:paraId="5916A491">
      <w:pPr>
        <w:spacing w:before="0" w:after="0" w:line="480" w:lineRule="auto"/>
        <w:jc w:val="left"/>
      </w:pPr>
      <w:r>
        <w:rPr>
          <w:rFonts w:ascii="Times New Roman" w:hAnsi="Times New Roman" w:eastAsia="Times New Roman" w:cs="Times New Roman"/>
          <w:b w:val="0"/>
          <w:bCs w:val="0"/>
          <w:sz w:val="22"/>
          <w:szCs w:val="22"/>
        </w:rPr>
        <w:t>Marshall v. AC&amp;S, Inc., 56 Wn. App. 181, 782 P.2d 1107 (1989)</w:t>
      </w:r>
    </w:p>
    <w:p w14:paraId="68DB5EF6">
      <w:pPr>
        <w:spacing w:before="0" w:after="120" w:line="480" w:lineRule="auto"/>
      </w:pPr>
    </w:p>
    <w:p w14:paraId="16AD39B5">
      <w:pPr>
        <w:spacing w:before="0" w:after="120" w:line="480" w:lineRule="auto"/>
        <w:jc w:val="left"/>
      </w:pPr>
      <w:r>
        <w:rPr>
          <w:rFonts w:ascii="Times New Roman" w:hAnsi="Times New Roman" w:eastAsia="Times New Roman" w:cs="Times New Roman"/>
          <w:b/>
          <w:bCs/>
          <w:sz w:val="24"/>
          <w:szCs w:val="24"/>
          <w:u w:val="single"/>
        </w:rPr>
        <w:t>Federal Cases</w:t>
      </w:r>
    </w:p>
    <w:p w14:paraId="16802D11">
      <w:pPr>
        <w:spacing w:before="0" w:after="0" w:line="480" w:lineRule="auto"/>
        <w:jc w:val="left"/>
      </w:pPr>
      <w:r>
        <w:rPr>
          <w:rFonts w:ascii="Times New Roman" w:hAnsi="Times New Roman" w:eastAsia="Times New Roman" w:cs="Times New Roman"/>
          <w:b w:val="0"/>
          <w:bCs w:val="0"/>
          <w:sz w:val="22"/>
          <w:szCs w:val="22"/>
        </w:rPr>
        <w:t>Button v. Dakota, Minn. &amp; E. R.R. Corp., 963 F.3d 824 (8th Cir. 2020)</w:t>
      </w:r>
    </w:p>
    <w:p w14:paraId="11D343BF">
      <w:pPr>
        <w:spacing w:before="0" w:after="120" w:line="480" w:lineRule="auto"/>
      </w:pPr>
    </w:p>
    <w:p w14:paraId="17D52E01">
      <w:pPr>
        <w:spacing w:before="0" w:after="120" w:line="480" w:lineRule="auto"/>
        <w:jc w:val="left"/>
      </w:pPr>
      <w:r>
        <w:rPr>
          <w:rFonts w:ascii="Times New Roman" w:hAnsi="Times New Roman" w:eastAsia="Times New Roman" w:cs="Times New Roman"/>
          <w:b/>
          <w:bCs/>
          <w:sz w:val="24"/>
          <w:szCs w:val="24"/>
          <w:u w:val="single"/>
        </w:rPr>
        <w:t>Rules and Constitutional Provisions</w:t>
      </w:r>
    </w:p>
    <w:p w14:paraId="462583C5">
      <w:pPr>
        <w:spacing w:before="0" w:after="0" w:line="480" w:lineRule="auto"/>
        <w:jc w:val="left"/>
      </w:pPr>
      <w:r>
        <w:rPr>
          <w:rFonts w:ascii="Times New Roman" w:hAnsi="Times New Roman" w:eastAsia="Times New Roman" w:cs="Times New Roman"/>
          <w:b w:val="0"/>
          <w:bCs w:val="0"/>
          <w:sz w:val="22"/>
          <w:szCs w:val="22"/>
        </w:rPr>
        <w:t>Wash. Const. Art. I, § 10</w:t>
      </w:r>
    </w:p>
    <w:p w14:paraId="644603B9">
      <w:pPr>
        <w:spacing w:before="0" w:after="0" w:line="480" w:lineRule="auto"/>
        <w:jc w:val="left"/>
      </w:pPr>
      <w:r>
        <w:rPr>
          <w:rFonts w:ascii="Times New Roman" w:hAnsi="Times New Roman" w:eastAsia="Times New Roman" w:cs="Times New Roman"/>
          <w:b w:val="0"/>
          <w:bCs w:val="0"/>
          <w:sz w:val="22"/>
          <w:szCs w:val="22"/>
        </w:rPr>
        <w:t>CR 8(d), CR 56</w:t>
      </w:r>
    </w:p>
    <w:p w14:paraId="3236B205">
      <w:pPr>
        <w:spacing w:before="0" w:after="0" w:line="480" w:lineRule="auto"/>
        <w:jc w:val="left"/>
      </w:pPr>
      <w:r>
        <w:rPr>
          <w:rFonts w:ascii="Times New Roman" w:hAnsi="Times New Roman" w:eastAsia="Times New Roman" w:cs="Times New Roman"/>
          <w:b w:val="0"/>
          <w:bCs w:val="0"/>
          <w:sz w:val="22"/>
          <w:szCs w:val="22"/>
        </w:rPr>
        <w:t>ER 201(d)</w:t>
      </w:r>
    </w:p>
    <w:p w14:paraId="5C203C58">
      <w:pPr>
        <w:spacing w:before="0" w:after="0" w:line="480" w:lineRule="auto"/>
        <w:jc w:val="left"/>
      </w:pPr>
      <w:r>
        <w:rPr>
          <w:rFonts w:ascii="Times New Roman" w:hAnsi="Times New Roman" w:eastAsia="Times New Roman" w:cs="Times New Roman"/>
          <w:b w:val="0"/>
          <w:bCs w:val="0"/>
          <w:sz w:val="22"/>
          <w:szCs w:val="22"/>
        </w:rPr>
        <w:t>RAP 13.4(b), RAP 15.2(c)</w:t>
      </w:r>
    </w:p>
    <w:p w14:paraId="4C7EFC45">
      <w:pPr>
        <w:spacing w:line="480" w:lineRule="auto"/>
        <w:sectPr>
          <w:headerReference r:id="rId5" w:type="default"/>
          <w:footerReference r:id="rId6" w:type="default"/>
          <w:pgSz w:w="12240" w:h="15840"/>
          <w:pgMar w:top="2160" w:right="2160" w:bottom="2160" w:left="2880" w:header="708" w:footer="706" w:gutter="0"/>
          <w:paperSrc/>
          <w:pgNumType w:fmt="decimal"/>
          <w:cols w:space="0" w:num="1"/>
          <w:rtlGutter w:val="0"/>
          <w:docGrid w:linePitch="360" w:charSpace="0"/>
        </w:sectPr>
      </w:pPr>
    </w:p>
    <w:p w14:paraId="68D9D5EB">
      <w:pPr>
        <w:spacing w:before="200" w:after="200" w:line="480" w:lineRule="auto"/>
        <w:jc w:val="left"/>
      </w:pPr>
      <w:r>
        <w:rPr>
          <w:rFonts w:ascii="Times New Roman" w:hAnsi="Times New Roman" w:eastAsia="Times New Roman" w:cs="Times New Roman"/>
          <w:b/>
          <w:bCs/>
          <w:caps w:val="0"/>
          <w:sz w:val="24"/>
          <w:szCs w:val="24"/>
        </w:rPr>
        <w:t>I. IDENTITY OF PETITIONER</w:t>
      </w:r>
    </w:p>
    <w:p w14:paraId="79463B5C">
      <w:pPr>
        <w:spacing w:before="0" w:after="200" w:line="480" w:lineRule="auto"/>
        <w:ind w:firstLine="720"/>
        <w:jc w:val="left"/>
      </w:pPr>
      <w:r>
        <w:rPr>
          <w:rFonts w:ascii="Times New Roman" w:hAnsi="Times New Roman" w:eastAsia="Times New Roman" w:cs="Times New Roman"/>
          <w:b w:val="0"/>
          <w:bCs w:val="0"/>
          <w:sz w:val="24"/>
          <w:szCs w:val="24"/>
        </w:rPr>
        <w:t>Zackariah Jeremiah Bennett, pro se and indigent, petitions this Court for review of the Court of Appeals decision affirming summary judgment.</w:t>
      </w:r>
    </w:p>
    <w:p w14:paraId="2F2C020F">
      <w:pPr>
        <w:spacing w:before="300" w:after="200" w:line="480" w:lineRule="auto"/>
        <w:jc w:val="left"/>
      </w:pPr>
      <w:r>
        <w:rPr>
          <w:rFonts w:ascii="Times New Roman" w:hAnsi="Times New Roman" w:eastAsia="Times New Roman" w:cs="Times New Roman"/>
          <w:b/>
          <w:bCs/>
          <w:caps w:val="0"/>
          <w:sz w:val="24"/>
          <w:szCs w:val="24"/>
        </w:rPr>
        <w:t>II. CITATION TO COURT OF APPEALS DECISION</w:t>
      </w:r>
    </w:p>
    <w:p w14:paraId="23AD4906">
      <w:pPr>
        <w:spacing w:before="0" w:after="200" w:line="480" w:lineRule="auto"/>
        <w:ind w:firstLine="720"/>
        <w:jc w:val="left"/>
      </w:pPr>
      <w:r>
        <w:rPr>
          <w:rFonts w:ascii="Times New Roman" w:hAnsi="Times New Roman" w:eastAsia="Times New Roman" w:cs="Times New Roman"/>
          <w:b w:val="0"/>
          <w:bCs w:val="0"/>
          <w:sz w:val="24"/>
          <w:szCs w:val="24"/>
        </w:rPr>
        <w:t>The Court of Appeals, Division One, filed its unpublished opinion in No. 87007-6-I on January 26, 2026. The order denying Petitioner’s motion for reconsideration was filed on February 18, 2026. Copies of both are attached as Appendices A and B.</w:t>
      </w:r>
    </w:p>
    <w:p w14:paraId="2C46E501">
      <w:pPr>
        <w:spacing w:before="300" w:after="200" w:line="480" w:lineRule="auto"/>
        <w:jc w:val="left"/>
      </w:pPr>
      <w:r>
        <w:rPr>
          <w:rFonts w:ascii="Times New Roman" w:hAnsi="Times New Roman" w:eastAsia="Times New Roman" w:cs="Times New Roman"/>
          <w:b/>
          <w:bCs/>
          <w:caps w:val="0"/>
          <w:sz w:val="24"/>
          <w:szCs w:val="24"/>
        </w:rPr>
        <w:t>III. ISSUES PRESENTED FOR REVIEW</w:t>
      </w:r>
    </w:p>
    <w:p w14:paraId="032C7280">
      <w:pPr>
        <w:spacing w:before="0" w:after="200" w:line="480" w:lineRule="auto"/>
        <w:ind w:firstLine="720"/>
        <w:jc w:val="left"/>
      </w:pPr>
      <w:r>
        <w:rPr>
          <w:rStyle w:val="24"/>
          <w:b/>
          <w:bCs/>
        </w:rPr>
        <w:t xml:space="preserve">Issue 1: </w:t>
      </w:r>
      <w:r>
        <w:rPr>
          <w:rFonts w:ascii="Times New Roman" w:hAnsi="Times New Roman" w:eastAsia="Times New Roman" w:cs="Times New Roman"/>
          <w:b w:val="0"/>
          <w:bCs w:val="0"/>
          <w:sz w:val="24"/>
          <w:szCs w:val="24"/>
        </w:rPr>
        <w:t>Whether a trial court violates CR 56 and Young v. Key Pharmaceuticals, 112 Wn.2d 216 (1989), by granting summary judgment where the moving party’s own sworn declaration contains mutually exclusive factual assertions on its face, the nonmoving party filed a sworn opposition with supporting evidence, a motion to compel remained pending because the moving party produced zero discovery responses, and the court denied the nonmoving party’s motion to strike the contradictory declaration without findings the day before granting summary judgment.</w:t>
      </w:r>
    </w:p>
    <w:p w14:paraId="3D72CA22">
      <w:pPr>
        <w:spacing w:before="0" w:after="200" w:line="480" w:lineRule="auto"/>
        <w:ind w:firstLine="720"/>
        <w:jc w:val="left"/>
      </w:pPr>
      <w:r>
        <w:rPr>
          <w:rStyle w:val="24"/>
        </w:rPr>
        <w:t>Issue 2</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val="0"/>
          <w:bCs w:val="0"/>
          <w:sz w:val="24"/>
          <w:szCs w:val="24"/>
        </w:rPr>
        <w:t>Whether Division One denied Petitioner meaningful access to appellate review by penalizing him for an incomplete record caused by the trial court’s failure to comply with Division One’s own mandate in Bennett v. Manning, No. 84951-4-I (2023), which reversed and remanded for an indigency determination under RAP 15.2(c) that was never conducted.</w:t>
      </w:r>
    </w:p>
    <w:p w14:paraId="63E37BCD">
      <w:pPr>
        <w:spacing w:before="0" w:after="200" w:line="480" w:lineRule="auto"/>
        <w:ind w:firstLine="720"/>
        <w:jc w:val="left"/>
      </w:pPr>
      <w:r>
        <w:rPr>
          <w:rStyle w:val="24"/>
        </w:rPr>
        <w:t>Issue 3:</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val="0"/>
          <w:bCs w:val="0"/>
          <w:sz w:val="24"/>
          <w:szCs w:val="24"/>
        </w:rPr>
        <w:t>Whether the Court of Appeals violated ER 201(d)’s mandatory judicial notice provision and Petitioner’s due process rights by affirming a ruling that found facts directly contradicted by evidence the court itself had admitted into the record.</w:t>
      </w:r>
    </w:p>
    <w:p w14:paraId="7BD6875A">
      <w:pPr>
        <w:spacing w:before="0" w:after="200" w:line="480" w:lineRule="auto"/>
        <w:ind w:firstLine="720"/>
        <w:jc w:val="left"/>
      </w:pPr>
      <w:r>
        <w:rPr>
          <w:rStyle w:val="24"/>
        </w:rPr>
        <w:t>Issue 4:</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val="0"/>
          <w:bCs w:val="0"/>
          <w:sz w:val="24"/>
          <w:szCs w:val="24"/>
        </w:rPr>
        <w:t>Whether summary judgment based on collateral estoppel can stand where the moving party’s counsel took mutually exclusive sworn positions in two different courts within seven days—telling this Court that certain evidence was “not relevant” to the prior proceeding, then telling the Superior Court that the prior proceeding had “adjudicated” those matters—and where the prior court’s own record shows it explicitly disclaimed authority over those matters.</w:t>
      </w:r>
    </w:p>
    <w:p w14:paraId="3C62292E">
      <w:pPr>
        <w:spacing w:before="400" w:after="200" w:line="480" w:lineRule="auto"/>
        <w:jc w:val="left"/>
      </w:pPr>
      <w:r>
        <w:rPr>
          <w:rFonts w:ascii="Times New Roman" w:hAnsi="Times New Roman" w:eastAsia="Times New Roman" w:cs="Times New Roman"/>
          <w:b/>
          <w:bCs/>
          <w:caps w:val="0"/>
          <w:sz w:val="24"/>
          <w:szCs w:val="24"/>
        </w:rPr>
        <w:t>IV. STATEMENT OF THE CASE</w:t>
      </w:r>
    </w:p>
    <w:p w14:paraId="44243100">
      <w:pPr>
        <w:spacing w:before="200" w:after="160" w:line="480" w:lineRule="auto"/>
        <w:jc w:val="left"/>
      </w:pPr>
      <w:r>
        <w:rPr>
          <w:rFonts w:ascii="Times New Roman" w:hAnsi="Times New Roman" w:eastAsia="Times New Roman" w:cs="Times New Roman"/>
          <w:b/>
          <w:bCs/>
          <w:caps w:val="0"/>
          <w:sz w:val="24"/>
          <w:szCs w:val="24"/>
        </w:rPr>
        <w:t>A. Background</w:t>
      </w:r>
    </w:p>
    <w:p w14:paraId="012B0010">
      <w:pPr>
        <w:spacing w:before="0" w:after="200" w:line="480" w:lineRule="auto"/>
        <w:ind w:firstLine="720"/>
        <w:jc w:val="left"/>
      </w:pPr>
      <w:r>
        <w:rPr>
          <w:rFonts w:ascii="Times New Roman" w:hAnsi="Times New Roman" w:eastAsia="Times New Roman" w:cs="Times New Roman"/>
          <w:b w:val="0"/>
          <w:bCs w:val="0"/>
          <w:sz w:val="24"/>
          <w:szCs w:val="24"/>
        </w:rPr>
        <w:t>Petitioner is the biological father of T.B. (born 2007). In 2008, while Petitioner was incarcerated in Colorado, Respondent Melvina Manning—T.B.’s maternal grandmother—obtained an ex parte custody order. Default judgment was entered without hearing or counsel. The resulting findings contain an internal impossibility: three separate boxes are checked for “abandoned” while a fourth box on the same form states “Both parents threaten to remove child from State of Washington.” Appendix C (2008 Findings excerpt). One cannot simultaneously abandon a child and threaten to remove him.</w:t>
      </w:r>
    </w:p>
    <w:p w14:paraId="004E08AD">
      <w:pPr>
        <w:spacing w:before="0" w:after="200" w:line="480" w:lineRule="auto"/>
        <w:ind w:firstLine="720"/>
        <w:jc w:val="left"/>
      </w:pPr>
      <w:r>
        <w:rPr>
          <w:rFonts w:ascii="Times New Roman" w:hAnsi="Times New Roman" w:eastAsia="Times New Roman" w:cs="Times New Roman"/>
          <w:b w:val="0"/>
          <w:bCs w:val="0"/>
          <w:sz w:val="24"/>
          <w:szCs w:val="24"/>
        </w:rPr>
        <w:t>Nine days before those findings were entered, Manning filed a declaration in the same case stating Petitioner was “calling his son on the telephone a couple times per week.” This sworn statement—regular telephone contact—is irreconcilable with the “abandonment” finding.</w:t>
      </w:r>
    </w:p>
    <w:p w14:paraId="1E96F4BC">
      <w:pPr>
        <w:spacing w:before="0" w:after="200" w:line="480" w:lineRule="auto"/>
        <w:ind w:firstLine="720"/>
        <w:jc w:val="left"/>
      </w:pPr>
      <w:r>
        <w:rPr>
          <w:rFonts w:ascii="Times New Roman" w:hAnsi="Times New Roman" w:eastAsia="Times New Roman" w:cs="Times New Roman"/>
          <w:b w:val="0"/>
          <w:bCs w:val="0"/>
          <w:sz w:val="24"/>
          <w:szCs w:val="24"/>
        </w:rPr>
        <w:t xml:space="preserve">In 2013, Petitioner signed a relinquishment in Snohomish County, induced by a Communication Agreement drafted by attorney Mark M. Demaray. That agreement explicitly stated that continued contact between Petitioner and T.B. was in T.B.’s “best interests,” required a judge’s signature to be enforceable (§1.1), and required Petitioner to notify both the Court and Manning within 48 hours to withdraw consent. Petitioner was incarcerated—outgoing prison mail takes a minimum of 48 hours to reach even a local recipient, making the withdrawal window physically impossible to exercise. The judge’s signature line </w:t>
      </w:r>
      <w:r>
        <w:rPr>
          <w:rFonts w:hint="default" w:cs="Times New Roman"/>
          <w:b w:val="0"/>
          <w:bCs w:val="0"/>
          <w:sz w:val="24"/>
          <w:szCs w:val="24"/>
          <w:lang w:val="en-US"/>
        </w:rPr>
        <w:t>is</w:t>
      </w:r>
      <w:r>
        <w:rPr>
          <w:rFonts w:ascii="Times New Roman" w:hAnsi="Times New Roman" w:eastAsia="Times New Roman" w:cs="Times New Roman"/>
          <w:b w:val="0"/>
          <w:bCs w:val="0"/>
          <w:sz w:val="24"/>
          <w:szCs w:val="24"/>
        </w:rPr>
        <w:t xml:space="preserve"> blank</w:t>
      </w:r>
      <w:r>
        <w:rPr>
          <w:rFonts w:hint="default" w:cs="Times New Roman"/>
          <w:b w:val="0"/>
          <w:bCs w:val="0"/>
          <w:sz w:val="24"/>
          <w:szCs w:val="24"/>
          <w:lang w:val="en-US"/>
        </w:rPr>
        <w:t>, and</w:t>
      </w:r>
      <w:r>
        <w:rPr>
          <w:rFonts w:ascii="Times New Roman" w:hAnsi="Times New Roman" w:eastAsia="Times New Roman" w:cs="Times New Roman"/>
          <w:b w:val="0"/>
          <w:bCs w:val="0"/>
          <w:sz w:val="24"/>
          <w:szCs w:val="24"/>
        </w:rPr>
        <w:t xml:space="preserve"> </w:t>
      </w:r>
      <w:r>
        <w:rPr>
          <w:rFonts w:hint="default" w:cs="Times New Roman"/>
          <w:b w:val="0"/>
          <w:bCs w:val="0"/>
          <w:sz w:val="24"/>
          <w:szCs w:val="24"/>
          <w:lang w:val="en-US"/>
        </w:rPr>
        <w:t>t</w:t>
      </w:r>
      <w:r>
        <w:rPr>
          <w:rFonts w:ascii="Times New Roman" w:hAnsi="Times New Roman" w:eastAsia="Times New Roman" w:cs="Times New Roman"/>
          <w:b w:val="0"/>
          <w:bCs w:val="0"/>
          <w:sz w:val="24"/>
          <w:szCs w:val="24"/>
        </w:rPr>
        <w:t>he agreement was not mentioned in or submitted with the relinquishment hearing paperwork, which independently stated the relinquishment was in T.B.’s “best interest.” The adoption was never completed; the cause was dismissed in 2019 for lack of progress.</w:t>
      </w:r>
    </w:p>
    <w:p w14:paraId="5E222E46">
      <w:pPr>
        <w:spacing w:before="200" w:after="160" w:line="480" w:lineRule="auto"/>
        <w:jc w:val="left"/>
      </w:pPr>
      <w:r>
        <w:rPr>
          <w:rFonts w:ascii="Times New Roman" w:hAnsi="Times New Roman" w:eastAsia="Times New Roman" w:cs="Times New Roman"/>
          <w:b/>
          <w:bCs/>
          <w:caps w:val="0"/>
          <w:sz w:val="24"/>
          <w:szCs w:val="24"/>
        </w:rPr>
        <w:t>B. The DVPO Proceeding</w:t>
      </w:r>
    </w:p>
    <w:p w14:paraId="3E0563AD">
      <w:pPr>
        <w:spacing w:before="0" w:after="120" w:line="480" w:lineRule="auto"/>
        <w:ind w:firstLine="720"/>
        <w:jc w:val="left"/>
      </w:pPr>
      <w:r>
        <w:rPr>
          <w:rFonts w:ascii="Times New Roman" w:hAnsi="Times New Roman" w:eastAsia="Times New Roman" w:cs="Times New Roman"/>
          <w:b w:val="0"/>
          <w:bCs w:val="0"/>
          <w:sz w:val="24"/>
          <w:szCs w:val="24"/>
        </w:rPr>
        <w:t>In June 2022, Petitioner visited Manning’s residence hoping to see T.B. Manning filed a Domestic Violence Protection Order petition. At the August 5, 2022 hearing, the DVPO judge explicitly limited the proceeding’s scope:</w:t>
      </w:r>
    </w:p>
    <w:p w14:paraId="606C09EA">
      <w:pPr>
        <w:spacing w:before="120" w:after="120" w:line="480" w:lineRule="auto"/>
        <w:ind w:left="720" w:right="720"/>
        <w:jc w:val="left"/>
      </w:pPr>
      <w:r>
        <w:rPr>
          <w:rFonts w:ascii="Times New Roman" w:hAnsi="Times New Roman" w:eastAsia="Times New Roman" w:cs="Times New Roman"/>
          <w:sz w:val="22"/>
          <w:szCs w:val="22"/>
        </w:rPr>
        <w:t>"Some of what was filed really does not—is not relevant to the issue that’s before me . . . the motion to appoint a guardian ad litem, for example, that is not something that this court has the authority to do. That’s not part of the protection order statute. So anything that is beyond the scope of why we’re here is not going to be something that I want you to focus [on]."</w:t>
      </w:r>
    </w:p>
    <w:p w14:paraId="00037291">
      <w:pPr>
        <w:spacing w:before="0" w:after="200" w:line="480" w:lineRule="auto"/>
        <w:jc w:val="left"/>
      </w:pPr>
      <w:r>
        <w:rPr>
          <w:rFonts w:ascii="Times New Roman" w:hAnsi="Times New Roman" w:eastAsia="Times New Roman" w:cs="Times New Roman"/>
          <w:b w:val="0"/>
          <w:bCs w:val="0"/>
          <w:sz w:val="24"/>
          <w:szCs w:val="24"/>
        </w:rPr>
        <w:t>Appendix E (Exhibit B—hearing excerpt). Petitioner confirmed his understanding and informed the court he had refiled those other matters separately. Those refiled matters became Case No. 23-2-11352-7—the civil action at issue in this petition.</w:t>
      </w:r>
    </w:p>
    <w:p w14:paraId="050DAFD9">
      <w:pPr>
        <w:spacing w:before="0" w:after="200" w:line="480" w:lineRule="auto"/>
        <w:ind w:firstLine="720"/>
        <w:jc w:val="left"/>
      </w:pPr>
      <w:r>
        <w:rPr>
          <w:rFonts w:ascii="Times New Roman" w:hAnsi="Times New Roman" w:eastAsia="Times New Roman" w:cs="Times New Roman"/>
          <w:b w:val="0"/>
          <w:bCs w:val="0"/>
          <w:sz w:val="24"/>
          <w:szCs w:val="24"/>
        </w:rPr>
        <w:t>Manning had Ring camera and porch security camera footage of the encounter. Petitioner requested this footage throughout the DVPO proceeding. It was never produced.</w:t>
      </w:r>
    </w:p>
    <w:p w14:paraId="6121CB05">
      <w:pPr>
        <w:spacing w:before="200" w:after="160" w:line="480" w:lineRule="auto"/>
        <w:jc w:val="left"/>
      </w:pPr>
      <w:r>
        <w:rPr>
          <w:rFonts w:ascii="Times New Roman" w:hAnsi="Times New Roman" w:eastAsia="Times New Roman" w:cs="Times New Roman"/>
          <w:b/>
          <w:bCs/>
          <w:caps w:val="0"/>
          <w:sz w:val="24"/>
          <w:szCs w:val="24"/>
        </w:rPr>
        <w:t>C. The Appellate Mandate—84951-4-I</w:t>
      </w:r>
    </w:p>
    <w:p w14:paraId="3611AE5A">
      <w:pPr>
        <w:spacing w:before="0" w:after="200" w:line="480" w:lineRule="auto"/>
        <w:ind w:firstLine="720"/>
        <w:jc w:val="left"/>
      </w:pPr>
      <w:r>
        <w:rPr>
          <w:rFonts w:ascii="Times New Roman" w:hAnsi="Times New Roman" w:eastAsia="Times New Roman" w:cs="Times New Roman"/>
          <w:b w:val="0"/>
          <w:bCs w:val="0"/>
          <w:sz w:val="24"/>
          <w:szCs w:val="24"/>
        </w:rPr>
        <w:t>Petitioner appealed the DVPO. In Bennett v. Manning, No. 84951-4-I (Division One, April 17, 2023), Division One issued a per curiam opinion (Judges Dwyer, Coburn, Andrus) holding that the trial court erred by failing to determine Petitioner’s indigency under RAP 15.2(c) and by deciding the ultimate issue of entitlement to public expense review—a question RAP 15.2(c) reserves for this Court. Division One reversed and remanded “for further proceedings consistent with this opinion.” Appendix H.</w:t>
      </w:r>
    </w:p>
    <w:p w14:paraId="5C21B094">
      <w:pPr>
        <w:spacing w:before="0" w:after="200" w:line="480" w:lineRule="auto"/>
        <w:ind w:firstLine="720"/>
        <w:jc w:val="left"/>
      </w:pPr>
      <w:r>
        <w:rPr>
          <w:rFonts w:ascii="Times New Roman" w:hAnsi="Times New Roman" w:eastAsia="Times New Roman" w:cs="Times New Roman"/>
          <w:b w:val="0"/>
          <w:bCs w:val="0"/>
          <w:sz w:val="24"/>
          <w:szCs w:val="24"/>
        </w:rPr>
        <w:t>The trial court never complied. Petitioner has resubmitted the mandate; it remains unaddressed.</w:t>
      </w:r>
    </w:p>
    <w:p w14:paraId="110CFF1C">
      <w:pPr>
        <w:spacing w:before="200" w:after="160" w:line="480" w:lineRule="auto"/>
        <w:jc w:val="left"/>
      </w:pPr>
      <w:r>
        <w:rPr>
          <w:rFonts w:ascii="Times New Roman" w:hAnsi="Times New Roman" w:eastAsia="Times New Roman" w:cs="Times New Roman"/>
          <w:b/>
          <w:bCs/>
          <w:caps w:val="0"/>
          <w:sz w:val="24"/>
          <w:szCs w:val="24"/>
        </w:rPr>
        <w:t>D. The Civil Action and Summary Judgment</w:t>
      </w:r>
    </w:p>
    <w:p w14:paraId="6F145F32">
      <w:pPr>
        <w:spacing w:before="0" w:after="120" w:line="480" w:lineRule="auto"/>
        <w:ind w:firstLine="720"/>
        <w:jc w:val="left"/>
      </w:pPr>
      <w:r>
        <w:rPr>
          <w:rFonts w:ascii="Times New Roman" w:hAnsi="Times New Roman" w:eastAsia="Times New Roman" w:cs="Times New Roman"/>
          <w:b w:val="0"/>
          <w:bCs w:val="0"/>
          <w:sz w:val="24"/>
          <w:szCs w:val="24"/>
        </w:rPr>
        <w:t>Petitioner filed civil claims in 23-2-11352-7—the matters the DVPO court had told him were beyond its scope. Manning, through counsel Nancy Gass (O.W. Hollowell &amp; Associates), filed a Response on September 19, 2023. Manning’s sworn declaration contains the following statements:</w:t>
      </w:r>
    </w:p>
    <w:p w14:paraId="05C9D617">
      <w:pPr>
        <w:spacing w:before="0" w:after="80" w:line="480" w:lineRule="auto"/>
        <w:ind w:left="720"/>
        <w:jc w:val="left"/>
      </w:pPr>
      <w:r>
        <w:rPr>
          <w:rFonts w:ascii="Times New Roman" w:hAnsi="Times New Roman" w:eastAsia="Times New Roman" w:cs="Times New Roman"/>
          <w:b/>
          <w:bCs/>
          <w:sz w:val="24"/>
          <w:szCs w:val="24"/>
        </w:rPr>
        <w:t xml:space="preserve">Page 2: </w:t>
      </w:r>
      <w:r>
        <w:rPr>
          <w:rFonts w:ascii="Times New Roman" w:hAnsi="Times New Roman" w:eastAsia="Times New Roman" w:cs="Times New Roman"/>
          <w:b w:val="0"/>
          <w:bCs w:val="0"/>
          <w:sz w:val="24"/>
          <w:szCs w:val="24"/>
        </w:rPr>
        <w:t xml:space="preserve">“Mr. Bennett </w:t>
      </w:r>
      <w:r>
        <w:rPr>
          <w:rFonts w:ascii="Times New Roman" w:hAnsi="Times New Roman" w:eastAsia="Times New Roman" w:cs="Times New Roman"/>
          <w:b/>
          <w:bCs/>
          <w:sz w:val="24"/>
          <w:szCs w:val="24"/>
        </w:rPr>
        <w:t>never made any attempt</w:t>
      </w:r>
      <w:r>
        <w:rPr>
          <w:rFonts w:ascii="Times New Roman" w:hAnsi="Times New Roman" w:eastAsia="Times New Roman" w:cs="Times New Roman"/>
          <w:b w:val="0"/>
          <w:bCs w:val="0"/>
          <w:sz w:val="24"/>
          <w:szCs w:val="24"/>
        </w:rPr>
        <w:t xml:space="preserve"> to contact TB from 2008 until June 23, 2019.”</w:t>
      </w:r>
    </w:p>
    <w:p w14:paraId="55C6146D">
      <w:pPr>
        <w:spacing w:before="0" w:after="120" w:line="480" w:lineRule="auto"/>
        <w:ind w:left="720"/>
        <w:jc w:val="left"/>
      </w:pPr>
      <w:r>
        <w:rPr>
          <w:rFonts w:ascii="Times New Roman" w:hAnsi="Times New Roman" w:eastAsia="Times New Roman" w:cs="Times New Roman"/>
          <w:b/>
          <w:bCs/>
          <w:sz w:val="24"/>
          <w:szCs w:val="24"/>
        </w:rPr>
        <w:t xml:space="preserve">Page 6: </w:t>
      </w:r>
      <w:r>
        <w:rPr>
          <w:rFonts w:ascii="Times New Roman" w:hAnsi="Times New Roman" w:eastAsia="Times New Roman" w:cs="Times New Roman"/>
          <w:b w:val="0"/>
          <w:bCs w:val="0"/>
          <w:sz w:val="24"/>
          <w:szCs w:val="24"/>
        </w:rPr>
        <w:t>“</w:t>
      </w:r>
      <w:r>
        <w:rPr>
          <w:rFonts w:ascii="Times New Roman" w:hAnsi="Times New Roman" w:eastAsia="Times New Roman" w:cs="Times New Roman"/>
          <w:b/>
          <w:bCs/>
          <w:sz w:val="24"/>
          <w:szCs w:val="24"/>
        </w:rPr>
        <w:t>one or two letters during the roughly 4 years he was in prison.</w:t>
      </w:r>
      <w:r>
        <w:rPr>
          <w:rFonts w:ascii="Times New Roman" w:hAnsi="Times New Roman" w:eastAsia="Times New Roman" w:cs="Times New Roman"/>
          <w:b w:val="0"/>
          <w:bCs w:val="0"/>
          <w:sz w:val="24"/>
          <w:szCs w:val="24"/>
        </w:rPr>
        <w:t>”</w:t>
      </w:r>
    </w:p>
    <w:p w14:paraId="35D75076">
      <w:pPr>
        <w:spacing w:before="0" w:after="200" w:line="480" w:lineRule="auto"/>
        <w:jc w:val="left"/>
      </w:pPr>
      <w:r>
        <w:rPr>
          <w:rFonts w:ascii="Times New Roman" w:hAnsi="Times New Roman" w:eastAsia="Times New Roman" w:cs="Times New Roman"/>
          <w:b w:val="0"/>
          <w:bCs w:val="0"/>
          <w:sz w:val="24"/>
          <w:szCs w:val="24"/>
        </w:rPr>
        <w:t>Appendix C (side-by-side excerpt). These assertions are mutually exclusive within the same sworn document. One cannot have “never made any attempt” to contact a child while also having sent “one or two letters.”</w:t>
      </w:r>
    </w:p>
    <w:p w14:paraId="105E018A">
      <w:pPr>
        <w:spacing w:before="0" w:after="200" w:line="480" w:lineRule="auto"/>
        <w:ind w:firstLine="720"/>
        <w:jc w:val="left"/>
      </w:pPr>
      <w:r>
        <w:rPr>
          <w:rFonts w:ascii="Times New Roman" w:hAnsi="Times New Roman" w:eastAsia="Times New Roman" w:cs="Times New Roman"/>
          <w:b w:val="0"/>
          <w:bCs w:val="0"/>
          <w:sz w:val="24"/>
          <w:szCs w:val="24"/>
        </w:rPr>
        <w:t xml:space="preserve">During discovery, Gass produced a 93-second cell phone recording of a porch security camera monitor—not the original Ring camera footage. Metadata showed the recording was created on July 9, 2022, nearly a month after the incident. On May 20, 2024, Gass </w:t>
      </w:r>
      <w:r>
        <w:rPr>
          <w:rFonts w:hint="default" w:cs="Times New Roman"/>
          <w:b w:val="0"/>
          <w:bCs w:val="0"/>
          <w:sz w:val="24"/>
          <w:szCs w:val="24"/>
          <w:lang w:val="en-US"/>
        </w:rPr>
        <w:t>responded</w:t>
      </w:r>
      <w:r>
        <w:rPr>
          <w:rFonts w:ascii="Times New Roman" w:hAnsi="Times New Roman" w:eastAsia="Times New Roman" w:cs="Times New Roman"/>
          <w:b w:val="0"/>
          <w:bCs w:val="0"/>
          <w:sz w:val="24"/>
          <w:szCs w:val="24"/>
        </w:rPr>
        <w:t xml:space="preserve"> to Petitioner</w:t>
      </w:r>
      <w:r>
        <w:rPr>
          <w:rFonts w:hint="default" w:cs="Times New Roman"/>
          <w:b w:val="0"/>
          <w:bCs w:val="0"/>
          <w:sz w:val="24"/>
          <w:szCs w:val="24"/>
          <w:lang w:val="en-US"/>
        </w:rPr>
        <w:t>’s email regarding</w:t>
      </w:r>
      <w:bookmarkStart w:id="24" w:name="_GoBack"/>
      <w:bookmarkEnd w:id="24"/>
      <w:r>
        <w:rPr>
          <w:rFonts w:hint="default" w:cs="Times New Roman"/>
          <w:b w:val="0"/>
          <w:bCs w:val="0"/>
          <w:sz w:val="24"/>
          <w:szCs w:val="24"/>
          <w:lang w:val="en-US"/>
        </w:rPr>
        <w:t xml:space="preserve"> the metadata finding</w:t>
      </w:r>
      <w:r>
        <w:rPr>
          <w:rFonts w:ascii="Times New Roman" w:hAnsi="Times New Roman" w:eastAsia="Times New Roman" w:cs="Times New Roman"/>
          <w:b w:val="0"/>
          <w:bCs w:val="0"/>
          <w:sz w:val="24"/>
          <w:szCs w:val="24"/>
        </w:rPr>
        <w:t>: “Her system deletes videos every 30 days. The only way she knew how to preserve the video was to record it on her cell phone.” Appendix F. Two days later, on May 22, 2024, Gass filed a statement with the court claiming Manning had not spoliated evidence and that the video “still exists.” Appendix F.</w:t>
      </w:r>
    </w:p>
    <w:p w14:paraId="7F8D914F">
      <w:pPr>
        <w:spacing w:before="0" w:after="200" w:line="480" w:lineRule="auto"/>
        <w:ind w:firstLine="720"/>
        <w:jc w:val="left"/>
      </w:pPr>
      <w:r>
        <w:rPr>
          <w:rFonts w:ascii="Times New Roman" w:hAnsi="Times New Roman" w:eastAsia="Times New Roman" w:cs="Times New Roman"/>
          <w:b w:val="0"/>
          <w:bCs w:val="0"/>
          <w:sz w:val="24"/>
          <w:szCs w:val="24"/>
        </w:rPr>
        <w:t>Petitioner filed an opposition to summary judgment with supporting evidence including a 2011 visit video (filmed by Manning herself), contact logs, and correspondence. Exhibit A contains Manning’s own acknowledgments of receiving Angel Tree gifts and Read-to-Me-Daddy recordings—prison programs through which incarcerated parents send Christmas gifts and recorded readings to their children—during the very period she swore Petitioner made “no attempt” at contact. Manning also provided Petitioner with the name and contact information for T.B.’s therapist, Rebecca Perbix Mallos, but never gave the therapist permission to speak with Petitioner—the therapist responded that she could not even confirm or deny whether T.B. was a patient. Petitioner filed a Motion to Strike False Statements identifying Manning’s internal contradictions. Petitioner’s Motion to Compel had been pending since May 6, 2024—Manning had produced zero discovery responses.</w:t>
      </w:r>
    </w:p>
    <w:p w14:paraId="1396D755">
      <w:pPr>
        <w:spacing w:before="0" w:after="200" w:line="480" w:lineRule="auto"/>
        <w:ind w:firstLine="720"/>
        <w:jc w:val="left"/>
      </w:pPr>
      <w:r>
        <w:rPr>
          <w:rFonts w:ascii="Times New Roman" w:hAnsi="Times New Roman" w:eastAsia="Times New Roman" w:cs="Times New Roman"/>
          <w:b w:val="0"/>
          <w:bCs w:val="0"/>
          <w:sz w:val="24"/>
          <w:szCs w:val="24"/>
        </w:rPr>
        <w:t>On July 2, 2024, the trial court denied the Motion to Strike and Motion for Sanctions. The order contains no findings. No explanation was provided for why mutually exclusive statements in the same sworn declaration do not create a genuine factual dispute.</w:t>
      </w:r>
    </w:p>
    <w:p w14:paraId="1EB43AF5">
      <w:pPr>
        <w:spacing w:before="0" w:after="200" w:line="480" w:lineRule="auto"/>
        <w:ind w:firstLine="720"/>
        <w:jc w:val="left"/>
      </w:pPr>
      <w:r>
        <w:rPr>
          <w:rFonts w:ascii="Times New Roman" w:hAnsi="Times New Roman" w:eastAsia="Times New Roman" w:cs="Times New Roman"/>
          <w:b w:val="0"/>
          <w:bCs w:val="0"/>
          <w:sz w:val="24"/>
          <w:szCs w:val="24"/>
        </w:rPr>
        <w:t>On July 3, 2024, the trial court granted summary judgment. The order—drafted by Gass and signed by Judge Hawk—states there are “no genuine issues of material fact.” It does not address Petitioner’s fraud claims. Discovery remained outstanding.</w:t>
      </w:r>
    </w:p>
    <w:p w14:paraId="0ACB9F33">
      <w:pPr>
        <w:spacing w:before="200" w:after="160" w:line="480" w:lineRule="auto"/>
        <w:jc w:val="left"/>
      </w:pPr>
      <w:r>
        <w:rPr>
          <w:rFonts w:ascii="Times New Roman" w:hAnsi="Times New Roman" w:eastAsia="Times New Roman" w:cs="Times New Roman"/>
          <w:b/>
          <w:bCs/>
          <w:caps w:val="0"/>
          <w:sz w:val="24"/>
          <w:szCs w:val="24"/>
        </w:rPr>
        <w:t>E. The Collateral Estoppel Foundation</w:t>
      </w:r>
    </w:p>
    <w:p w14:paraId="75955CD1">
      <w:pPr>
        <w:spacing w:before="0" w:after="200" w:line="480" w:lineRule="auto"/>
        <w:ind w:firstLine="720"/>
        <w:jc w:val="left"/>
      </w:pPr>
      <w:r>
        <w:rPr>
          <w:rFonts w:ascii="Times New Roman" w:hAnsi="Times New Roman" w:eastAsia="Times New Roman" w:cs="Times New Roman"/>
          <w:b w:val="0"/>
          <w:bCs w:val="0"/>
          <w:sz w:val="24"/>
          <w:szCs w:val="24"/>
        </w:rPr>
        <w:t>The summary judgment rests on collateral estoppel. At the June 28, 2024 hearing, Judge Hawk asked Gass for her “strongest legal argument.” Gass responded: “All of these issues have been addressed by a court, they’ve been adjudicated. Mr. Bennett had his opportunity to present this to the court in the domestic violence hearing.” Appendix E. The court confirmed this as res judicata and collateral estoppel.</w:t>
      </w:r>
    </w:p>
    <w:p w14:paraId="7B6999FE">
      <w:pPr>
        <w:spacing w:before="0" w:after="200" w:line="480" w:lineRule="auto"/>
        <w:ind w:firstLine="720"/>
        <w:jc w:val="left"/>
      </w:pPr>
      <w:r>
        <w:rPr>
          <w:rFonts w:ascii="Times New Roman" w:hAnsi="Times New Roman" w:eastAsia="Times New Roman" w:cs="Times New Roman"/>
          <w:b w:val="0"/>
          <w:bCs w:val="0"/>
          <w:sz w:val="24"/>
          <w:szCs w:val="24"/>
        </w:rPr>
        <w:t>Seven days earlier—on June 21, 2024—Gass had filed an Answer to Petition for Review in this Court (Case No. 102950-1), stating that the video evidence and civil matters were “not relevant to this case,” referring to the DVPO. Appendix D.</w:t>
      </w:r>
    </w:p>
    <w:p w14:paraId="5D512F2B">
      <w:pPr>
        <w:spacing w:before="0" w:after="200" w:line="480" w:lineRule="auto"/>
        <w:ind w:firstLine="720"/>
        <w:jc w:val="left"/>
      </w:pPr>
      <w:r>
        <w:rPr>
          <w:rFonts w:ascii="Times New Roman" w:hAnsi="Times New Roman" w:eastAsia="Times New Roman" w:cs="Times New Roman"/>
          <w:b w:val="0"/>
          <w:bCs w:val="0"/>
          <w:sz w:val="24"/>
          <w:szCs w:val="24"/>
        </w:rPr>
        <w:t>The DVPO court’s own words confirm Gass’s first position was accurate: civil matters were explicitly excluded from the DVPO proceeding. The court said it lacked authority over them. Petitioner refiled them separately. Yet summary judgment was granted on the representation that the DVPO had adjudicated those very matters.</w:t>
      </w:r>
    </w:p>
    <w:p w14:paraId="7664CD50">
      <w:pPr>
        <w:spacing w:before="200" w:after="160" w:line="480" w:lineRule="auto"/>
        <w:jc w:val="left"/>
        <w:rPr>
          <w:rFonts w:ascii="Times New Roman" w:hAnsi="Times New Roman" w:eastAsia="Times New Roman" w:cs="Times New Roman"/>
          <w:b/>
          <w:bCs/>
          <w:caps w:val="0"/>
          <w:sz w:val="24"/>
          <w:szCs w:val="24"/>
        </w:rPr>
      </w:pPr>
    </w:p>
    <w:p w14:paraId="2697D647">
      <w:pPr>
        <w:spacing w:before="200" w:after="160" w:line="480" w:lineRule="auto"/>
        <w:jc w:val="left"/>
      </w:pPr>
      <w:r>
        <w:rPr>
          <w:rFonts w:ascii="Times New Roman" w:hAnsi="Times New Roman" w:eastAsia="Times New Roman" w:cs="Times New Roman"/>
          <w:b/>
          <w:bCs/>
          <w:caps w:val="0"/>
          <w:sz w:val="24"/>
          <w:szCs w:val="24"/>
        </w:rPr>
        <w:t>F. The Appeal</w:t>
      </w:r>
    </w:p>
    <w:p w14:paraId="2308086B">
      <w:pPr>
        <w:spacing w:before="0" w:after="200" w:line="480" w:lineRule="auto"/>
        <w:ind w:firstLine="720"/>
        <w:jc w:val="left"/>
      </w:pPr>
      <w:r>
        <w:rPr>
          <w:rFonts w:ascii="Times New Roman" w:hAnsi="Times New Roman" w:eastAsia="Times New Roman" w:cs="Times New Roman"/>
          <w:b w:val="0"/>
          <w:bCs w:val="0"/>
          <w:sz w:val="24"/>
          <w:szCs w:val="24"/>
        </w:rPr>
        <w:t>Petitioner appealed. Because the trial court never complied with the mandate in 84951-4-I regarding indigency, Petitioner could not afford a certified transcript. Petitioner included verbatim quotes from the official FTR court recording in his appellate filings, cited to the audio. Manning never challenged the accuracy of these quotes.</w:t>
      </w:r>
    </w:p>
    <w:p w14:paraId="721666DF">
      <w:pPr>
        <w:spacing w:before="0" w:after="200" w:line="480" w:lineRule="auto"/>
        <w:ind w:firstLine="720"/>
        <w:jc w:val="left"/>
      </w:pPr>
      <w:r>
        <w:rPr>
          <w:rFonts w:ascii="Times New Roman" w:hAnsi="Times New Roman" w:eastAsia="Times New Roman" w:cs="Times New Roman"/>
          <w:b w:val="0"/>
          <w:bCs w:val="0"/>
          <w:sz w:val="24"/>
          <w:szCs w:val="24"/>
        </w:rPr>
        <w:t>The Court of Appeals cited the incomplete record as a basis for declining full de novo review (Opinion p.4, FN 1). On January 26, 2026, Division One affirmed. The opinion found “no contact” between 2008 and 2019—notwithstanding Exhibit A, which the court had admitted on December 8, 2025 and which documents phone calls, a 2011 video visit, in-person contact, recordings, and gifts throughout that period.</w:t>
      </w:r>
    </w:p>
    <w:p w14:paraId="31274F98">
      <w:pPr>
        <w:spacing w:before="0" w:after="200" w:line="480" w:lineRule="auto"/>
        <w:ind w:firstLine="720"/>
        <w:jc w:val="left"/>
      </w:pPr>
      <w:r>
        <w:rPr>
          <w:rFonts w:ascii="Times New Roman" w:hAnsi="Times New Roman" w:eastAsia="Times New Roman" w:cs="Times New Roman"/>
          <w:b w:val="0"/>
          <w:bCs w:val="0"/>
          <w:sz w:val="24"/>
          <w:szCs w:val="24"/>
        </w:rPr>
        <w:t>Manning was ordered to respond by December 1, 2025. She filed nothing. Under CR 8(d), all undenied averments are deemed admitted. The court did not address this.</w:t>
      </w:r>
    </w:p>
    <w:p w14:paraId="355DDB16">
      <w:pPr>
        <w:spacing w:before="0" w:after="200" w:line="480" w:lineRule="auto"/>
        <w:ind w:firstLine="720"/>
        <w:jc w:val="left"/>
      </w:pPr>
      <w:r>
        <w:rPr>
          <w:rFonts w:ascii="Times New Roman" w:hAnsi="Times New Roman" w:eastAsia="Times New Roman" w:cs="Times New Roman"/>
          <w:b w:val="0"/>
          <w:bCs w:val="0"/>
          <w:sz w:val="24"/>
          <w:szCs w:val="24"/>
        </w:rPr>
        <w:t>Reconsideration was denied February 18, 2026 without addressing the factual impossibilities Petitioner raised.</w:t>
      </w:r>
    </w:p>
    <w:p w14:paraId="6BCD3C63">
      <w:pPr>
        <w:spacing w:before="400" w:after="200" w:line="480" w:lineRule="auto"/>
        <w:jc w:val="left"/>
        <w:rPr>
          <w:rFonts w:ascii="Times New Roman" w:hAnsi="Times New Roman" w:eastAsia="Times New Roman" w:cs="Times New Roman"/>
          <w:b/>
          <w:bCs/>
          <w:caps w:val="0"/>
          <w:sz w:val="24"/>
          <w:szCs w:val="24"/>
        </w:rPr>
      </w:pPr>
    </w:p>
    <w:p w14:paraId="557B23F3">
      <w:pPr>
        <w:spacing w:before="400" w:after="200" w:line="480" w:lineRule="auto"/>
        <w:jc w:val="left"/>
      </w:pPr>
      <w:r>
        <w:rPr>
          <w:rFonts w:ascii="Times New Roman" w:hAnsi="Times New Roman" w:eastAsia="Times New Roman" w:cs="Times New Roman"/>
          <w:b/>
          <w:bCs/>
          <w:caps w:val="0"/>
          <w:sz w:val="24"/>
          <w:szCs w:val="24"/>
        </w:rPr>
        <w:t>V. ARGUMENT</w:t>
      </w:r>
    </w:p>
    <w:p w14:paraId="4A683EAF">
      <w:pPr>
        <w:spacing w:before="200" w:after="120" w:line="480" w:lineRule="auto"/>
        <w:jc w:val="left"/>
      </w:pPr>
      <w:r>
        <w:rPr>
          <w:rFonts w:ascii="Times New Roman" w:hAnsi="Times New Roman" w:eastAsia="Times New Roman" w:cs="Times New Roman"/>
          <w:b/>
          <w:bCs/>
          <w:caps w:val="0"/>
          <w:sz w:val="24"/>
          <w:szCs w:val="24"/>
        </w:rPr>
        <w:t>A. ISSUE 1: Summary Judgment on a Facially Contradictory Declaration Conflicts with Supreme Court Precedent and Eliminates the CR 56 Standard</w:t>
      </w:r>
    </w:p>
    <w:p w14:paraId="06EE469B">
      <w:pPr>
        <w:spacing w:before="0" w:after="40" w:line="480" w:lineRule="auto"/>
        <w:jc w:val="left"/>
      </w:pPr>
      <w:r>
        <w:rPr>
          <w:rFonts w:ascii="Times New Roman" w:hAnsi="Times New Roman" w:eastAsia="Times New Roman" w:cs="Times New Roman"/>
          <w:b/>
          <w:bCs/>
          <w:sz w:val="24"/>
          <w:szCs w:val="24"/>
        </w:rPr>
        <w:t>RAP 13.4(b)(1): Conflicts with Young v. Key Pharmaceuticals, 112 Wn.2d 216 (1989), and Folsom v. Burger King, 135 Wn.2d 658 (1998).</w:t>
      </w:r>
    </w:p>
    <w:p w14:paraId="78F0AA95">
      <w:pPr>
        <w:spacing w:before="0" w:after="200" w:line="480" w:lineRule="auto"/>
        <w:jc w:val="left"/>
      </w:pPr>
      <w:r>
        <w:rPr>
          <w:rFonts w:ascii="Times New Roman" w:hAnsi="Times New Roman" w:eastAsia="Times New Roman" w:cs="Times New Roman"/>
          <w:b/>
          <w:bCs/>
          <w:sz w:val="24"/>
          <w:szCs w:val="24"/>
        </w:rPr>
        <w:t>RAP 13.4(b)(4): Substantial public interest.</w:t>
      </w:r>
    </w:p>
    <w:p w14:paraId="7E9ADC9F">
      <w:pPr>
        <w:spacing w:before="0" w:after="200" w:line="480" w:lineRule="auto"/>
        <w:ind w:firstLine="720"/>
        <w:jc w:val="left"/>
      </w:pPr>
      <w:r>
        <w:rPr>
          <w:rFonts w:ascii="Times New Roman" w:hAnsi="Times New Roman" w:eastAsia="Times New Roman" w:cs="Times New Roman"/>
          <w:b w:val="0"/>
          <w:bCs w:val="0"/>
          <w:sz w:val="24"/>
          <w:szCs w:val="24"/>
        </w:rPr>
        <w:t>The nonmoving party filed a sworn opposition identifying specific factual disputes supported by documentary evidence. The nonmoving party had a pending Motion to Strike identifying false statements in the moving party’s own declaration. The nonmoving party had a pending Motion to Compel because the moving party had produced zero discovery responses in 57 days. The moving party’s own sworn declaration contained mutually exclusive assertions on its face—“never made any attempt to contact” on page 2, and “one or two letters” on page 6 of the same filing. The trial court denied the Motion to Strike without findings, then granted summary judgment the following day finding “no genuine issues of material fact.”</w:t>
      </w:r>
    </w:p>
    <w:p w14:paraId="39F40C42">
      <w:pPr>
        <w:spacing w:before="0" w:after="200" w:line="480" w:lineRule="auto"/>
        <w:ind w:firstLine="720"/>
        <w:jc w:val="left"/>
      </w:pPr>
      <w:r>
        <w:rPr>
          <w:rFonts w:ascii="Times New Roman" w:hAnsi="Times New Roman" w:eastAsia="Times New Roman" w:cs="Times New Roman"/>
          <w:b w:val="0"/>
          <w:bCs w:val="0"/>
          <w:sz w:val="24"/>
          <w:szCs w:val="24"/>
        </w:rPr>
        <w:t>Under what construction of CR 56 is this permissible?</w:t>
      </w:r>
    </w:p>
    <w:p w14:paraId="63F6DB0E">
      <w:pPr>
        <w:spacing w:before="0" w:after="200" w:line="480" w:lineRule="auto"/>
        <w:ind w:firstLine="720"/>
        <w:jc w:val="left"/>
      </w:pPr>
      <w:r>
        <w:rPr>
          <w:rFonts w:ascii="Times New Roman" w:hAnsi="Times New Roman" w:eastAsia="Times New Roman" w:cs="Times New Roman"/>
          <w:b w:val="0"/>
          <w:bCs w:val="0"/>
          <w:sz w:val="24"/>
          <w:szCs w:val="24"/>
        </w:rPr>
        <w:t>Under Young, the moving party must first demonstrate the absence of a genuine issue of material fact before any burden shifts to the nonmoving party. 112 Wn.2d at 225. Manning’s declaration—the foundation of her summary judgment motion—did not demonstrate the absence of a genuine issue. It created one. A document that asserts “never” and “one or two” in the same sworn filing does not make a coherent factual assertion from which the absence of dispute can be determined.</w:t>
      </w:r>
    </w:p>
    <w:p w14:paraId="3DBBBF67">
      <w:pPr>
        <w:spacing w:before="0" w:after="200" w:line="480" w:lineRule="auto"/>
        <w:ind w:firstLine="720"/>
        <w:jc w:val="left"/>
      </w:pPr>
      <w:r>
        <w:rPr>
          <w:rFonts w:ascii="Times New Roman" w:hAnsi="Times New Roman" w:eastAsia="Times New Roman" w:cs="Times New Roman"/>
          <w:b w:val="0"/>
          <w:bCs w:val="0"/>
          <w:sz w:val="24"/>
          <w:szCs w:val="24"/>
        </w:rPr>
        <w:t>Under Folsom, all trial court rulings made in conjunction with a summary judgment motion are reviewed de novo. 135 Wn.2d at 663. This includes the July 2, 2024 denial of the Motion to Strike—a ruling issued without findings the day before summary judgment was granted on the very evidence that motion challenged. Under Keck v. Collins, all evidence and reasonable inferences must be viewed in the light most favorable to the nonmoving party. 184 Wn.2d at 370.</w:t>
      </w:r>
    </w:p>
    <w:p w14:paraId="2D4D30A4">
      <w:pPr>
        <w:spacing w:before="0" w:after="200" w:line="480" w:lineRule="auto"/>
        <w:ind w:firstLine="720"/>
        <w:jc w:val="left"/>
      </w:pPr>
      <w:r>
        <w:rPr>
          <w:rFonts w:ascii="Times New Roman" w:hAnsi="Times New Roman" w:eastAsia="Times New Roman" w:cs="Times New Roman"/>
          <w:b w:val="0"/>
          <w:bCs w:val="0"/>
          <w:sz w:val="24"/>
          <w:szCs w:val="24"/>
        </w:rPr>
        <w:t>Washington courts have long recognized that contradictory sworn statements cannot be used to manufacture or eliminate genuine factual disputes. In Marshall v. AC&amp;S, Inc., Division One held that “when a party has given clear answers to unambiguous questions which negate the existence of any genuine issue of material fact, that party cannot thereafter create such an issue with an affidavit that merely contradicts, without explanation, previously given clear testimony.” 56 Wn. App. at 185. Under Berry v. Crown Cork &amp; Seal Co., the threshold is whether the statements are “clearly contradictory” as opposed to merely inconsistent. 103 Wn. App. at 321-23. “Never made any attempt” and “one or two letters” are mutually exclusive. They exceed the “clearly contradictory” threshold by any measure.</w:t>
      </w:r>
    </w:p>
    <w:p w14:paraId="0E7ABD30">
      <w:pPr>
        <w:spacing w:before="0" w:after="200" w:line="480" w:lineRule="auto"/>
        <w:ind w:firstLine="720"/>
        <w:jc w:val="left"/>
      </w:pPr>
      <w:r>
        <w:rPr>
          <w:rFonts w:ascii="Times New Roman" w:hAnsi="Times New Roman" w:eastAsia="Times New Roman" w:cs="Times New Roman"/>
          <w:b w:val="0"/>
          <w:bCs w:val="0"/>
          <w:sz w:val="24"/>
          <w:szCs w:val="24"/>
        </w:rPr>
        <w:t>While these authorities traditionally address contradictions between separate filings, Manning’s contradiction is categorically stronger—it occurs within a single document. There is no temporal gap. No intervening discovery. No changed circumstances. The same declaration, signed under the same penalty of perjury, asserts “never” on one page and admits contact on another.</w:t>
      </w:r>
    </w:p>
    <w:p w14:paraId="42393915">
      <w:pPr>
        <w:spacing w:before="0" w:after="200" w:line="480" w:lineRule="auto"/>
        <w:ind w:firstLine="720"/>
        <w:jc w:val="left"/>
      </w:pPr>
      <w:r>
        <w:rPr>
          <w:rFonts w:ascii="Times New Roman" w:hAnsi="Times New Roman" w:eastAsia="Times New Roman" w:cs="Times New Roman"/>
          <w:b w:val="0"/>
          <w:bCs w:val="0"/>
          <w:sz w:val="24"/>
          <w:szCs w:val="24"/>
        </w:rPr>
        <w:t>The Eighth Circuit has confirmed that scrutiny of contradictory sworn statements applies to the moving party’s own declarations supporting summary judgment. Button v. Dakota, Minn. &amp; E. R.R. Corp., 963 F.3d 824 (8th Cir. 2020). But this Court need not extend any doctrine. The issue is simpler: under Young, how does a facially self-contradicting declaration demonstrate the absence of a genuine issue of material fact?</w:t>
      </w:r>
    </w:p>
    <w:p w14:paraId="7F1A9CAB">
      <w:pPr>
        <w:spacing w:before="0" w:after="200" w:line="480" w:lineRule="auto"/>
        <w:ind w:firstLine="720"/>
        <w:jc w:val="left"/>
      </w:pPr>
      <w:r>
        <w:rPr>
          <w:rFonts w:ascii="Times New Roman" w:hAnsi="Times New Roman" w:eastAsia="Times New Roman" w:cs="Times New Roman"/>
          <w:b w:val="0"/>
          <w:bCs w:val="0"/>
          <w:sz w:val="24"/>
          <w:szCs w:val="24"/>
        </w:rPr>
        <w:t>The procedural context compounds the error. The trial court denied the Motion to Strike without findings on July 2, then granted summary judgment on July 3—based on the declarations that motion challenged. A Motion to Compel had been pending for 57 days because Manning produced zero discovery responses. Under Folsom, every one of these rulings is subject to de novo review. The Court of Appeals affirmed without addressing the facial contradiction in Manning’s declaration or the absence of findings on the Motion to Strike.</w:t>
      </w:r>
    </w:p>
    <w:p w14:paraId="0D0D0C2C">
      <w:pPr>
        <w:spacing w:before="0" w:after="200" w:line="480" w:lineRule="auto"/>
        <w:ind w:firstLine="720"/>
        <w:jc w:val="left"/>
      </w:pPr>
      <w:r>
        <w:rPr>
          <w:rFonts w:ascii="Times New Roman" w:hAnsi="Times New Roman" w:eastAsia="Times New Roman" w:cs="Times New Roman"/>
          <w:b w:val="0"/>
          <w:bCs w:val="0"/>
          <w:sz w:val="24"/>
          <w:szCs w:val="24"/>
        </w:rPr>
        <w:t>This presents a question of substantial public interest under RAP 13.4(b)(4). If a moving party can obtain summary judgment while her own declaration contradicts itself on its face, and the trial court can deny evidentiary challenges without findings the day before granting that motion, the CR 56 standard is a dead letter. Every litigant who files a meritorious opposition—particularly pro se and indigent litigants without counsel to escalate procedural violations in real time—is at risk.</w:t>
      </w:r>
    </w:p>
    <w:p w14:paraId="2CFEA6A3">
      <w:pPr>
        <w:spacing w:before="300" w:after="120" w:line="480" w:lineRule="auto"/>
        <w:jc w:val="left"/>
      </w:pPr>
      <w:r>
        <w:rPr>
          <w:rFonts w:ascii="Times New Roman" w:hAnsi="Times New Roman" w:eastAsia="Times New Roman" w:cs="Times New Roman"/>
          <w:b/>
          <w:bCs/>
          <w:caps w:val="0"/>
          <w:sz w:val="24"/>
          <w:szCs w:val="24"/>
        </w:rPr>
        <w:t>B. ISSUE 2: Division One’s Mandate Was Ignored, Then Its Consequences Were Held Against Petitioner</w:t>
      </w:r>
    </w:p>
    <w:p w14:paraId="1D9F59BA">
      <w:pPr>
        <w:spacing w:before="0" w:after="40" w:line="480" w:lineRule="auto"/>
        <w:jc w:val="left"/>
      </w:pPr>
      <w:r>
        <w:rPr>
          <w:rFonts w:ascii="Times New Roman" w:hAnsi="Times New Roman" w:eastAsia="Times New Roman" w:cs="Times New Roman"/>
          <w:b/>
          <w:bCs/>
          <w:sz w:val="24"/>
          <w:szCs w:val="24"/>
        </w:rPr>
        <w:t>RAP 13.4(b)(3): Significant constitutional question—access to courts.</w:t>
      </w:r>
    </w:p>
    <w:p w14:paraId="0868CE5E">
      <w:pPr>
        <w:spacing w:before="0" w:after="200" w:line="480" w:lineRule="auto"/>
        <w:jc w:val="left"/>
      </w:pPr>
      <w:r>
        <w:rPr>
          <w:rFonts w:ascii="Times New Roman" w:hAnsi="Times New Roman" w:eastAsia="Times New Roman" w:cs="Times New Roman"/>
          <w:b/>
          <w:bCs/>
          <w:sz w:val="24"/>
          <w:szCs w:val="24"/>
        </w:rPr>
        <w:t>RAP 13.4(b)(4): Substantial public interest.</w:t>
      </w:r>
    </w:p>
    <w:p w14:paraId="116F8210">
      <w:pPr>
        <w:spacing w:before="0" w:after="200" w:line="480" w:lineRule="auto"/>
        <w:ind w:firstLine="720"/>
        <w:jc w:val="left"/>
      </w:pPr>
      <w:r>
        <w:rPr>
          <w:rFonts w:ascii="Times New Roman" w:hAnsi="Times New Roman" w:eastAsia="Times New Roman" w:cs="Times New Roman"/>
          <w:b w:val="0"/>
          <w:bCs w:val="0"/>
          <w:sz w:val="24"/>
          <w:szCs w:val="24"/>
        </w:rPr>
        <w:t>In April 2023, Division One issued a per curiam opinion holding that the trial court erred by failing to determine Petitioner’s indigency under RAP 15.2(c) and by deciding the question of entitlement to public expense review that RAP 15.2(c) reserves for this Court. Division One reversed and remanded with instructions. Appendix H.</w:t>
      </w:r>
    </w:p>
    <w:p w14:paraId="1F1D2546">
      <w:pPr>
        <w:spacing w:before="0" w:after="200" w:line="480" w:lineRule="auto"/>
        <w:ind w:firstLine="720"/>
        <w:jc w:val="left"/>
      </w:pPr>
      <w:r>
        <w:rPr>
          <w:rFonts w:ascii="Times New Roman" w:hAnsi="Times New Roman" w:eastAsia="Times New Roman" w:cs="Times New Roman"/>
          <w:b w:val="0"/>
          <w:bCs w:val="0"/>
          <w:sz w:val="24"/>
          <w:szCs w:val="24"/>
        </w:rPr>
        <w:t>The trial court never complied. Petitioner resubmitted the mandate. It remains unaddressed.</w:t>
      </w:r>
    </w:p>
    <w:p w14:paraId="2666C6AD">
      <w:pPr>
        <w:spacing w:before="0" w:after="200" w:line="480" w:lineRule="auto"/>
        <w:ind w:firstLine="720"/>
        <w:jc w:val="left"/>
      </w:pPr>
      <w:r>
        <w:rPr>
          <w:rFonts w:ascii="Times New Roman" w:hAnsi="Times New Roman" w:eastAsia="Times New Roman" w:cs="Times New Roman"/>
          <w:b w:val="0"/>
          <w:bCs w:val="0"/>
          <w:sz w:val="24"/>
          <w:szCs w:val="24"/>
        </w:rPr>
        <w:t>In January 2026, the same Division One cited the resulting incomplete record—the absence of a certified transcript Petitioner could not afford because the trial court refused to fund it—as the basis for declining to conduct full de novo review. Opinion at 4, FN 1.</w:t>
      </w:r>
    </w:p>
    <w:p w14:paraId="750259F5">
      <w:pPr>
        <w:spacing w:before="0" w:after="200" w:line="480" w:lineRule="auto"/>
        <w:ind w:firstLine="720"/>
        <w:jc w:val="left"/>
      </w:pPr>
      <w:r>
        <w:rPr>
          <w:rFonts w:ascii="Times New Roman" w:hAnsi="Times New Roman" w:eastAsia="Times New Roman" w:cs="Times New Roman"/>
          <w:b w:val="0"/>
          <w:bCs w:val="0"/>
          <w:sz w:val="24"/>
          <w:szCs w:val="24"/>
        </w:rPr>
        <w:t>The logic is circular. An appellate court reversed and remanded so Petitioner could obtain transcripts through an indigency determination. The trial court ignored the mandate. The appellate court then penalized Petitioner for lacking the transcripts the mandate was supposed to produce.</w:t>
      </w:r>
    </w:p>
    <w:p w14:paraId="10D48764">
      <w:pPr>
        <w:spacing w:before="0" w:after="200" w:line="480" w:lineRule="auto"/>
        <w:ind w:firstLine="720"/>
        <w:jc w:val="left"/>
      </w:pPr>
      <w:r>
        <w:rPr>
          <w:rFonts w:ascii="Times New Roman" w:hAnsi="Times New Roman" w:eastAsia="Times New Roman" w:cs="Times New Roman"/>
          <w:b w:val="0"/>
          <w:bCs w:val="0"/>
          <w:sz w:val="24"/>
          <w:szCs w:val="24"/>
        </w:rPr>
        <w:t>This raises a significant constitutional question under RAP 13.4(b)(3). If appellate reversal and remand orders carry no enforcement mechanism—if a trial court can ignore an appellate mandate without consequence and the appellate court then treats the resulting harm as the petitioner’s burden—appellate review is illusory. The right of access to courts guaranteed by the Washington Constitution, Art. I, § 10, is meaningless if the remedy obtained through that access can be nullified by noncompliance.</w:t>
      </w:r>
    </w:p>
    <w:p w14:paraId="7FCE047E">
      <w:pPr>
        <w:spacing w:before="0" w:after="200" w:line="480" w:lineRule="auto"/>
        <w:ind w:firstLine="720"/>
        <w:jc w:val="left"/>
      </w:pPr>
      <w:r>
        <w:rPr>
          <w:rFonts w:ascii="Times New Roman" w:hAnsi="Times New Roman" w:eastAsia="Times New Roman" w:cs="Times New Roman"/>
          <w:b w:val="0"/>
          <w:bCs w:val="0"/>
          <w:sz w:val="24"/>
          <w:szCs w:val="24"/>
        </w:rPr>
        <w:t>This also presents an issue of substantial public interest under RAP 13.4(b)(4). Every indigent litigant who obtains a favorable appellate ruling on indigency is at risk if trial courts can decline to implement those rulings without sanction. The three-layer trap here—appellate court orders relief, trial court ignores order, appellate court penalizes petitioner for the resulting gap—would apply to any litigant who depends on court-funded resources to perfect an appeal.</w:t>
      </w:r>
    </w:p>
    <w:p w14:paraId="4679EC57">
      <w:pPr>
        <w:spacing w:before="300" w:after="120" w:line="480" w:lineRule="auto"/>
        <w:jc w:val="left"/>
      </w:pPr>
      <w:r>
        <w:rPr>
          <w:rFonts w:ascii="Times New Roman" w:hAnsi="Times New Roman" w:eastAsia="Times New Roman" w:cs="Times New Roman"/>
          <w:b/>
          <w:bCs/>
          <w:caps w:val="0"/>
          <w:sz w:val="24"/>
          <w:szCs w:val="24"/>
        </w:rPr>
        <w:t>C. ISSUE 3: Mandatory Judicial Notice Ignored; Admitted Evidence Treated as Nonexistent</w:t>
      </w:r>
    </w:p>
    <w:p w14:paraId="0334649D">
      <w:pPr>
        <w:spacing w:before="0" w:after="40" w:line="480" w:lineRule="auto"/>
        <w:jc w:val="left"/>
      </w:pPr>
      <w:r>
        <w:rPr>
          <w:rFonts w:ascii="Times New Roman" w:hAnsi="Times New Roman" w:eastAsia="Times New Roman" w:cs="Times New Roman"/>
          <w:b/>
          <w:bCs/>
          <w:sz w:val="24"/>
          <w:szCs w:val="24"/>
        </w:rPr>
        <w:t>RAP 13.4(b)(3): Significant constitutional question.</w:t>
      </w:r>
    </w:p>
    <w:p w14:paraId="28EBA8E5">
      <w:pPr>
        <w:spacing w:before="0" w:after="200" w:line="480" w:lineRule="auto"/>
        <w:jc w:val="left"/>
      </w:pPr>
      <w:r>
        <w:rPr>
          <w:rFonts w:ascii="Times New Roman" w:hAnsi="Times New Roman" w:eastAsia="Times New Roman" w:cs="Times New Roman"/>
          <w:b/>
          <w:bCs/>
          <w:sz w:val="24"/>
          <w:szCs w:val="24"/>
        </w:rPr>
        <w:t>RAP 13.4(b)(4): Substantial public interest.</w:t>
      </w:r>
    </w:p>
    <w:p w14:paraId="6E3D0ABC">
      <w:pPr>
        <w:spacing w:before="0" w:after="200" w:line="480" w:lineRule="auto"/>
        <w:ind w:firstLine="720"/>
        <w:jc w:val="left"/>
      </w:pPr>
      <w:r>
        <w:rPr>
          <w:rFonts w:ascii="Times New Roman" w:hAnsi="Times New Roman" w:eastAsia="Times New Roman" w:cs="Times New Roman"/>
          <w:b w:val="0"/>
          <w:bCs w:val="0"/>
          <w:sz w:val="24"/>
          <w:szCs w:val="24"/>
        </w:rPr>
        <w:t>ER 201(d) provides that a court “shall take judicial notice if requested by a party and supplied with the necessary information.” “Shall” is mandatory in Washington statutory construction. Petitioner filed nine requests for judicial notice of court records across these proceedings. All were ignored—no rulings, no findings, no denials.</w:t>
      </w:r>
    </w:p>
    <w:p w14:paraId="66A2AC75">
      <w:pPr>
        <w:spacing w:before="0" w:after="200" w:line="480" w:lineRule="auto"/>
        <w:ind w:firstLine="720"/>
        <w:jc w:val="left"/>
      </w:pPr>
      <w:r>
        <w:rPr>
          <w:rFonts w:ascii="Times New Roman" w:hAnsi="Times New Roman" w:eastAsia="Times New Roman" w:cs="Times New Roman"/>
          <w:b w:val="0"/>
          <w:bCs w:val="0"/>
          <w:sz w:val="24"/>
          <w:szCs w:val="24"/>
        </w:rPr>
        <w:t>More critically, the Court of Appeals admitted Exhibit A into evidence on December 8, 2025. Exhibit A documents contact between Petitioner and T.B. throughout the period 2008–2019—phone calls, a 2011 video visit Manning herself filmed, in-person contact, recordings, and gifts. Seven weeks later, the January 26, 2026 opinion found “no contact” during that period as though Exhibit A did not exist.</w:t>
      </w:r>
    </w:p>
    <w:p w14:paraId="2EF18B7F">
      <w:pPr>
        <w:spacing w:before="0" w:after="200" w:line="480" w:lineRule="auto"/>
        <w:ind w:firstLine="720"/>
        <w:jc w:val="left"/>
      </w:pPr>
      <w:r>
        <w:rPr>
          <w:rFonts w:ascii="Times New Roman" w:hAnsi="Times New Roman" w:eastAsia="Times New Roman" w:cs="Times New Roman"/>
          <w:b w:val="0"/>
          <w:bCs w:val="0"/>
          <w:sz w:val="24"/>
          <w:szCs w:val="24"/>
        </w:rPr>
        <w:t>Additionally, the court ordered Manning to respond by December 1, 2025. Manning filed nothing. Under CR 8(d), undenied averments are deemed admitted. The court did not address this.</w:t>
      </w:r>
    </w:p>
    <w:p w14:paraId="00CF4687">
      <w:pPr>
        <w:spacing w:before="0" w:after="200" w:line="480" w:lineRule="auto"/>
        <w:ind w:firstLine="720"/>
        <w:jc w:val="left"/>
      </w:pPr>
      <w:r>
        <w:rPr>
          <w:rFonts w:ascii="Times New Roman" w:hAnsi="Times New Roman" w:eastAsia="Times New Roman" w:cs="Times New Roman"/>
          <w:b w:val="0"/>
          <w:bCs w:val="0"/>
          <w:sz w:val="24"/>
          <w:szCs w:val="24"/>
        </w:rPr>
        <w:t>A court that admits evidence and then issues a ruling directly contradicted by that evidence has denied the submitting party any meaningful opportunity to be heard. This raises a significant constitutional question under RAP 13.4(b)(3). If “shall” does not mean “shall” in ER 201(d), and if admitted evidence can be disregarded in the ruling it was admitted to inform, every litigant relying on judicial notice or evidentiary submissions is at risk.</w:t>
      </w:r>
    </w:p>
    <w:p w14:paraId="2F122CA8">
      <w:pPr>
        <w:spacing w:before="300" w:after="120" w:line="480" w:lineRule="auto"/>
        <w:jc w:val="left"/>
        <w:rPr>
          <w:rFonts w:ascii="Times New Roman" w:hAnsi="Times New Roman" w:eastAsia="Times New Roman" w:cs="Times New Roman"/>
          <w:b/>
          <w:bCs/>
          <w:caps w:val="0"/>
          <w:sz w:val="24"/>
          <w:szCs w:val="24"/>
        </w:rPr>
      </w:pPr>
    </w:p>
    <w:p w14:paraId="70A6D454">
      <w:pPr>
        <w:spacing w:before="300" w:after="120" w:line="480" w:lineRule="auto"/>
        <w:jc w:val="left"/>
        <w:rPr>
          <w:rFonts w:ascii="Times New Roman" w:hAnsi="Times New Roman" w:eastAsia="Times New Roman" w:cs="Times New Roman"/>
          <w:b/>
          <w:bCs/>
          <w:caps w:val="0"/>
          <w:sz w:val="24"/>
          <w:szCs w:val="24"/>
        </w:rPr>
      </w:pPr>
    </w:p>
    <w:p w14:paraId="0819D652">
      <w:pPr>
        <w:spacing w:before="300" w:after="120" w:line="480" w:lineRule="auto"/>
        <w:jc w:val="left"/>
      </w:pPr>
      <w:r>
        <w:rPr>
          <w:rFonts w:ascii="Times New Roman" w:hAnsi="Times New Roman" w:eastAsia="Times New Roman" w:cs="Times New Roman"/>
          <w:b/>
          <w:bCs/>
          <w:caps w:val="0"/>
          <w:sz w:val="24"/>
          <w:szCs w:val="24"/>
        </w:rPr>
        <w:t>D. ISSUE 4: Collateral Estoppel Built on Mutually Exclusive Sworn Positions</w:t>
      </w:r>
    </w:p>
    <w:p w14:paraId="6335C9F4">
      <w:pPr>
        <w:spacing w:before="0" w:after="40" w:line="480" w:lineRule="auto"/>
        <w:jc w:val="left"/>
      </w:pPr>
      <w:r>
        <w:rPr>
          <w:rFonts w:ascii="Times New Roman" w:hAnsi="Times New Roman" w:eastAsia="Times New Roman" w:cs="Times New Roman"/>
          <w:b/>
          <w:bCs/>
          <w:sz w:val="24"/>
          <w:szCs w:val="24"/>
        </w:rPr>
        <w:t>RAP 13.4(b)(1): Conflicts with Arkison v. Ethan Allen, Inc., 160 Wn.2d 535 (2007).</w:t>
      </w:r>
    </w:p>
    <w:p w14:paraId="7C0E9BDE">
      <w:pPr>
        <w:spacing w:before="0" w:after="200" w:line="480" w:lineRule="auto"/>
        <w:jc w:val="left"/>
      </w:pPr>
      <w:r>
        <w:rPr>
          <w:rFonts w:ascii="Times New Roman" w:hAnsi="Times New Roman" w:eastAsia="Times New Roman" w:cs="Times New Roman"/>
          <w:b/>
          <w:bCs/>
          <w:sz w:val="24"/>
          <w:szCs w:val="24"/>
        </w:rPr>
        <w:t>RAP 13.4(b)(4): Substantial public interest.</w:t>
      </w:r>
    </w:p>
    <w:p w14:paraId="14BA75B1">
      <w:pPr>
        <w:spacing w:before="0" w:after="200" w:line="480" w:lineRule="auto"/>
        <w:ind w:firstLine="720"/>
        <w:jc w:val="left"/>
      </w:pPr>
      <w:r>
        <w:rPr>
          <w:rFonts w:ascii="Times New Roman" w:hAnsi="Times New Roman" w:eastAsia="Times New Roman" w:cs="Times New Roman"/>
          <w:b w:val="0"/>
          <w:bCs w:val="0"/>
          <w:sz w:val="24"/>
          <w:szCs w:val="24"/>
        </w:rPr>
        <w:t>Summary judgment rested on collateral estoppel—the argument that the DVPO proceeding had adjudicated Petitioner’s civil claims. Three independent sources establish that this argument was false.</w:t>
      </w:r>
    </w:p>
    <w:p w14:paraId="683E1CF9">
      <w:pPr>
        <w:spacing w:before="0" w:after="200" w:line="480" w:lineRule="auto"/>
        <w:ind w:firstLine="720"/>
        <w:jc w:val="left"/>
      </w:pPr>
      <w:r>
        <w:rPr>
          <w:rFonts w:ascii="Times New Roman" w:hAnsi="Times New Roman" w:eastAsia="Times New Roman" w:cs="Times New Roman"/>
          <w:b w:val="0"/>
          <w:bCs w:val="0"/>
          <w:sz w:val="24"/>
          <w:szCs w:val="24"/>
        </w:rPr>
        <w:t>First, the DVPO judge’s own words. At the August 5, 2022 hearing, the court stated that civil matters were “not relevant to the issue that’s before me,” that the court did not have “the authority” to address them, and that “anything that is beyond the scope of why we’re here is not going to be something that I want you to focus [on].” Petitioner confirmed his understanding and told the court he had refiled those matters separately.</w:t>
      </w:r>
    </w:p>
    <w:p w14:paraId="3CF54E1C">
      <w:pPr>
        <w:spacing w:before="0" w:after="200" w:line="480" w:lineRule="auto"/>
        <w:ind w:firstLine="720"/>
        <w:jc w:val="left"/>
      </w:pPr>
      <w:r>
        <w:rPr>
          <w:rFonts w:ascii="Times New Roman" w:hAnsi="Times New Roman" w:eastAsia="Times New Roman" w:cs="Times New Roman"/>
          <w:b w:val="0"/>
          <w:bCs w:val="0"/>
          <w:sz w:val="24"/>
          <w:szCs w:val="24"/>
        </w:rPr>
        <w:t>Second, Gass’s own prior position. On June 21, 2024, Gass filed an Answer in this Court stating that the video evidence and civil matters were “not relevant to this case”—referring to the DVPO. This is consistent with what the DVPO judge actually said.</w:t>
      </w:r>
    </w:p>
    <w:p w14:paraId="18C0EDE5">
      <w:pPr>
        <w:spacing w:before="0" w:after="200" w:line="480" w:lineRule="auto"/>
        <w:ind w:firstLine="720"/>
        <w:jc w:val="left"/>
      </w:pPr>
      <w:r>
        <w:rPr>
          <w:rFonts w:ascii="Times New Roman" w:hAnsi="Times New Roman" w:eastAsia="Times New Roman" w:cs="Times New Roman"/>
          <w:b w:val="0"/>
          <w:bCs w:val="0"/>
          <w:sz w:val="24"/>
          <w:szCs w:val="24"/>
        </w:rPr>
        <w:t>Third, Gass’s contradictory subsequent position. Seven days later, on June 28, 2024, Gass told Judge Hawk that the DVPO had “adjudicated” all civil issues—directly contradicting both the DVPO judge’s stated limitation and Gass’s own filing to this Court one week prior.</w:t>
      </w:r>
    </w:p>
    <w:p w14:paraId="26F504FE">
      <w:pPr>
        <w:spacing w:before="0" w:after="200" w:line="480" w:lineRule="auto"/>
        <w:ind w:firstLine="720"/>
        <w:jc w:val="left"/>
      </w:pPr>
      <w:r>
        <w:rPr>
          <w:rFonts w:ascii="Times New Roman" w:hAnsi="Times New Roman" w:eastAsia="Times New Roman" w:cs="Times New Roman"/>
          <w:b w:val="0"/>
          <w:bCs w:val="0"/>
          <w:sz w:val="24"/>
          <w:szCs w:val="24"/>
        </w:rPr>
        <w:t>Under Arkison, judicial estoppel prevents a party from prevailing on a position clearly inconsistent with a position successfully maintained in an earlier proceeding. 160 Wn.2d at 538. The elements are satisfied: (1) “not relevant to the DVPO” and “the DVPO adjudicated everything” are clearly inconsistent—they are mutually exclusive; (2) acceptance of the second position creates the perception that either this Court or the Superior Court was misled; and (3) Manning derived the ultimate advantage—summary judgment—from the second position.</w:t>
      </w:r>
    </w:p>
    <w:p w14:paraId="306B340A">
      <w:pPr>
        <w:spacing w:before="0" w:after="200" w:line="480" w:lineRule="auto"/>
        <w:ind w:firstLine="720"/>
        <w:jc w:val="left"/>
      </w:pPr>
      <w:r>
        <w:rPr>
          <w:rFonts w:ascii="Times New Roman" w:hAnsi="Times New Roman" w:eastAsia="Times New Roman" w:cs="Times New Roman"/>
          <w:b w:val="0"/>
          <w:bCs w:val="0"/>
          <w:sz w:val="24"/>
          <w:szCs w:val="24"/>
        </w:rPr>
        <w:t>The pattern extends beyond the 7-day contradiction. On May 20, 2024, Gass admitted to Petitioner in writing that Manning’s Ring camera footage had been destroyed—“her system deletes videos every 30 days.” Two days later, Gass filed a statement with the court claiming the video was not spoliated and “still exists.” The method is consistent: one statement to the opposing party, the opposite to the court.</w:t>
      </w:r>
    </w:p>
    <w:p w14:paraId="27CBEC38">
      <w:pPr>
        <w:spacing w:before="0" w:after="200" w:line="480" w:lineRule="auto"/>
        <w:ind w:firstLine="720"/>
        <w:jc w:val="left"/>
      </w:pPr>
      <w:r>
        <w:rPr>
          <w:rFonts w:ascii="Times New Roman" w:hAnsi="Times New Roman" w:eastAsia="Times New Roman" w:cs="Times New Roman"/>
          <w:b w:val="0"/>
          <w:bCs w:val="0"/>
          <w:sz w:val="24"/>
          <w:szCs w:val="24"/>
        </w:rPr>
        <w:t>The net effect is a closed evidentiary loop. The video of the triggering event cannot enter through the DVPO because Gass told this Court it was “not relevant” there. The civil claims arising from that event cannot proceed because Gass told the Superior Court the DVPO resolved them. The original footage was destroyed. Evidence that disproves the foundation of summary judgment has no courtroom left to enter.</w:t>
      </w:r>
    </w:p>
    <w:p w14:paraId="70F69012">
      <w:pPr>
        <w:spacing w:before="0" w:after="200" w:line="480" w:lineRule="auto"/>
        <w:ind w:firstLine="720"/>
        <w:jc w:val="left"/>
      </w:pPr>
      <w:r>
        <w:rPr>
          <w:rFonts w:ascii="Times New Roman" w:hAnsi="Times New Roman" w:eastAsia="Times New Roman" w:cs="Times New Roman"/>
          <w:b w:val="0"/>
          <w:bCs w:val="0"/>
          <w:sz w:val="24"/>
          <w:szCs w:val="24"/>
        </w:rPr>
        <w:t>If this Court does not address counsel’s ability to take opposite positions in different courts within seven days and prevail on the second position unchallenged, the integrity of the adversarial system is at stake. This warrants review under both RAP 13.4(b)(1)—conflict with Arkison—and RAP 13.4(b)(4)—substantial public interest.</w:t>
      </w:r>
    </w:p>
    <w:p w14:paraId="2A5330FB">
      <w:pPr>
        <w:spacing w:before="400" w:after="200" w:line="480" w:lineRule="auto"/>
        <w:jc w:val="left"/>
      </w:pPr>
      <w:r>
        <w:rPr>
          <w:rFonts w:ascii="Times New Roman" w:hAnsi="Times New Roman" w:eastAsia="Times New Roman" w:cs="Times New Roman"/>
          <w:b/>
          <w:bCs/>
          <w:caps w:val="0"/>
          <w:sz w:val="24"/>
          <w:szCs w:val="24"/>
        </w:rPr>
        <w:t>VI. CONCLUSION</w:t>
      </w:r>
    </w:p>
    <w:p w14:paraId="02434083">
      <w:pPr>
        <w:spacing w:before="0" w:after="120" w:line="480" w:lineRule="auto"/>
        <w:ind w:firstLine="720"/>
        <w:jc w:val="left"/>
      </w:pPr>
      <w:r>
        <w:rPr>
          <w:rFonts w:ascii="Times New Roman" w:hAnsi="Times New Roman" w:eastAsia="Times New Roman" w:cs="Times New Roman"/>
          <w:b w:val="0"/>
          <w:bCs w:val="0"/>
          <w:sz w:val="24"/>
          <w:szCs w:val="24"/>
        </w:rPr>
        <w:t>Petitioner respectfully requests that this Court accept review and:</w:t>
      </w:r>
    </w:p>
    <w:p w14:paraId="38CBA530">
      <w:pPr>
        <w:spacing w:before="0" w:after="80" w:line="480" w:lineRule="auto"/>
        <w:ind w:left="720"/>
        <w:jc w:val="left"/>
      </w:pPr>
      <w:r>
        <w:rPr>
          <w:rFonts w:ascii="Times New Roman" w:hAnsi="Times New Roman" w:eastAsia="Times New Roman" w:cs="Times New Roman"/>
          <w:b w:val="0"/>
          <w:bCs w:val="0"/>
          <w:sz w:val="24"/>
          <w:szCs w:val="24"/>
        </w:rPr>
        <w:t>1.  Reverse summary judgment as inconsistent with CR 56 and Young v. Key Pharmaceuticals;</w:t>
      </w:r>
    </w:p>
    <w:p w14:paraId="3993B508">
      <w:pPr>
        <w:spacing w:before="0" w:after="80" w:line="480" w:lineRule="auto"/>
        <w:ind w:left="720"/>
        <w:jc w:val="left"/>
      </w:pPr>
      <w:r>
        <w:rPr>
          <w:rFonts w:ascii="Times New Roman" w:hAnsi="Times New Roman" w:eastAsia="Times New Roman" w:cs="Times New Roman"/>
          <w:b w:val="0"/>
          <w:bCs w:val="0"/>
          <w:sz w:val="24"/>
          <w:szCs w:val="24"/>
        </w:rPr>
        <w:t>2.  Remand with instructions for the trial court to comply with the mandate in 84951-4-I regarding the indigency determination under RAP 15.2(c), and address the constitutional implications of unenforced appellate mandates;</w:t>
      </w:r>
    </w:p>
    <w:p w14:paraId="7DBD03B9">
      <w:pPr>
        <w:spacing w:before="0" w:after="80" w:line="480" w:lineRule="auto"/>
        <w:ind w:left="720"/>
        <w:jc w:val="left"/>
      </w:pPr>
      <w:r>
        <w:rPr>
          <w:rFonts w:ascii="Times New Roman" w:hAnsi="Times New Roman" w:eastAsia="Times New Roman" w:cs="Times New Roman"/>
          <w:b w:val="0"/>
          <w:bCs w:val="0"/>
          <w:sz w:val="24"/>
          <w:szCs w:val="24"/>
        </w:rPr>
        <w:t>3.  Address the due process implications of mandatory judicial notice provisions being ignored and admitted evidence being disregarded in the ruling it informed; and</w:t>
      </w:r>
    </w:p>
    <w:p w14:paraId="31E54E07">
      <w:pPr>
        <w:spacing w:before="0" w:after="300" w:line="480" w:lineRule="auto"/>
        <w:ind w:left="720"/>
        <w:jc w:val="left"/>
      </w:pPr>
      <w:r>
        <w:rPr>
          <w:rFonts w:ascii="Times New Roman" w:hAnsi="Times New Roman" w:eastAsia="Times New Roman" w:cs="Times New Roman"/>
          <w:b w:val="0"/>
          <w:bCs w:val="0"/>
          <w:sz w:val="24"/>
          <w:szCs w:val="24"/>
        </w:rPr>
        <w:t>4.  Address the collateral estoppel ruling premised on counsel’s mutually exclusive sworn positions in two courts within seven days, contradicted by the prior court’s own record.</w:t>
      </w:r>
    </w:p>
    <w:p w14:paraId="055FA1FF">
      <w:pPr>
        <w:spacing w:before="0" w:after="400" w:line="480" w:lineRule="auto"/>
        <w:jc w:val="left"/>
      </w:pPr>
      <w:r>
        <w:rPr>
          <w:rFonts w:ascii="Times New Roman" w:hAnsi="Times New Roman" w:eastAsia="Times New Roman" w:cs="Times New Roman"/>
          <w:b w:val="0"/>
          <w:bCs w:val="0"/>
          <w:sz w:val="24"/>
          <w:szCs w:val="24"/>
        </w:rPr>
        <w:t>DATED this ___ day of March, 2026.</w:t>
      </w:r>
    </w:p>
    <w:p w14:paraId="6B5F1D54">
      <w:pPr>
        <w:spacing w:before="0" w:after="400" w:line="480" w:lineRule="auto"/>
        <w:jc w:val="left"/>
      </w:pPr>
      <w:r>
        <w:rPr>
          <w:rFonts w:ascii="Times New Roman" w:hAnsi="Times New Roman" w:eastAsia="Times New Roman" w:cs="Times New Roman"/>
          <w:b w:val="0"/>
          <w:bCs w:val="0"/>
          <w:sz w:val="24"/>
          <w:szCs w:val="24"/>
        </w:rPr>
        <w:t>Respectfully submitted,</w:t>
      </w:r>
    </w:p>
    <w:p w14:paraId="3F2D55D5">
      <w:pPr>
        <w:spacing w:before="0" w:after="40" w:line="480" w:lineRule="auto"/>
        <w:jc w:val="left"/>
      </w:pPr>
      <w:r>
        <w:rPr>
          <w:rFonts w:ascii="Times New Roman" w:hAnsi="Times New Roman" w:eastAsia="Times New Roman" w:cs="Times New Roman"/>
          <w:b w:val="0"/>
          <w:bCs w:val="0"/>
          <w:caps w:val="0"/>
          <w:sz w:val="24"/>
          <w:szCs w:val="24"/>
        </w:rPr>
        <w:t>______________________________</w:t>
      </w:r>
    </w:p>
    <w:p w14:paraId="57EFCAD3">
      <w:pPr>
        <w:spacing w:before="0" w:after="40" w:line="480" w:lineRule="auto"/>
        <w:jc w:val="left"/>
      </w:pPr>
      <w:r>
        <w:rPr>
          <w:rFonts w:ascii="Times New Roman" w:hAnsi="Times New Roman" w:eastAsia="Times New Roman" w:cs="Times New Roman"/>
          <w:b w:val="0"/>
          <w:bCs w:val="0"/>
          <w:caps w:val="0"/>
          <w:sz w:val="24"/>
          <w:szCs w:val="24"/>
        </w:rPr>
        <w:t>Zackariah Jeremiah Bennett, Pro Se</w:t>
      </w:r>
    </w:p>
    <w:p w14:paraId="1DBB4CAB">
      <w:pPr>
        <w:spacing w:before="0" w:after="40" w:line="480" w:lineRule="auto"/>
        <w:jc w:val="left"/>
      </w:pPr>
      <w:r>
        <w:rPr>
          <w:rFonts w:ascii="Times New Roman" w:hAnsi="Times New Roman" w:eastAsia="Times New Roman" w:cs="Times New Roman"/>
          <w:b w:val="0"/>
          <w:bCs w:val="0"/>
          <w:caps w:val="0"/>
          <w:sz w:val="24"/>
          <w:szCs w:val="24"/>
        </w:rPr>
        <w:t>17 Old Mountain Rd</w:t>
      </w:r>
    </w:p>
    <w:p w14:paraId="4B32843A">
      <w:pPr>
        <w:spacing w:before="0" w:after="40" w:line="480" w:lineRule="auto"/>
        <w:jc w:val="left"/>
      </w:pPr>
      <w:r>
        <w:rPr>
          <w:rFonts w:ascii="Times New Roman" w:hAnsi="Times New Roman" w:eastAsia="Times New Roman" w:cs="Times New Roman"/>
          <w:b w:val="0"/>
          <w:bCs w:val="0"/>
          <w:caps w:val="0"/>
          <w:sz w:val="24"/>
          <w:szCs w:val="24"/>
        </w:rPr>
        <w:t>Goldendale, WA 98620</w:t>
      </w:r>
    </w:p>
    <w:p w14:paraId="3BCD8DA3">
      <w:pPr>
        <w:spacing w:before="0" w:after="200" w:line="480" w:lineRule="auto"/>
        <w:jc w:val="left"/>
      </w:pPr>
      <w:r>
        <w:rPr>
          <w:rFonts w:ascii="Times New Roman" w:hAnsi="Times New Roman" w:eastAsia="Times New Roman" w:cs="Times New Roman"/>
          <w:b w:val="0"/>
          <w:bCs w:val="0"/>
          <w:caps w:val="0"/>
          <w:sz w:val="24"/>
          <w:szCs w:val="24"/>
        </w:rPr>
        <w:t>zackjbennett@gmail.com</w:t>
      </w:r>
    </w:p>
    <w:p w14:paraId="421062CF">
      <w:pPr>
        <w:spacing w:line="480" w:lineRule="auto"/>
        <w:sectPr>
          <w:headerReference r:id="rId7" w:type="default"/>
          <w:footerReference r:id="rId8" w:type="default"/>
          <w:pgSz w:w="12240" w:h="15840"/>
          <w:pgMar w:top="2160" w:right="2160" w:bottom="2160" w:left="2880" w:header="708" w:footer="706" w:gutter="0"/>
          <w:paperSrc/>
          <w:pgNumType w:fmt="decimal"/>
          <w:cols w:space="0" w:num="1"/>
          <w:rtlGutter w:val="0"/>
          <w:docGrid w:linePitch="360" w:charSpace="0"/>
        </w:sectPr>
      </w:pPr>
    </w:p>
    <w:p w14:paraId="12B17CC0">
      <w:pPr>
        <w:keepNext w:val="0"/>
        <w:keepLines w:val="0"/>
        <w:widowControl/>
        <w:suppressLineNumbers w:val="0"/>
        <w:spacing w:before="0" w:beforeAutospacing="1" w:after="200" w:afterAutospacing="0" w:line="30" w:lineRule="atLeast"/>
        <w:jc w:val="center"/>
        <w:rPr>
          <w:rFonts w:hint="eastAsia" w:ascii="SimSun" w:hAnsi="SimSun" w:eastAsia="SimSun" w:cs="SimSun"/>
          <w:b/>
          <w:bCs/>
          <w:caps/>
          <w:kern w:val="44"/>
          <w:sz w:val="28"/>
          <w:szCs w:val="28"/>
          <w:lang w:val="en-US" w:eastAsia="zh-CN" w:bidi="ar"/>
        </w:rPr>
      </w:pPr>
      <w:bookmarkStart w:id="0" w:name="_Toc32611"/>
      <w:bookmarkStart w:id="1" w:name="_Toc27066"/>
      <w:r>
        <w:rPr>
          <w:rFonts w:hint="eastAsia" w:ascii="SimSun" w:hAnsi="SimSun" w:eastAsia="SimSun" w:cs="SimSun"/>
          <w:b/>
          <w:bCs/>
          <w:caps/>
          <w:color w:val="000000"/>
          <w:kern w:val="44"/>
          <w:sz w:val="28"/>
          <w:szCs w:val="28"/>
          <w:lang w:val="en-US" w:eastAsia="zh-CN" w:bidi="ar"/>
        </w:rPr>
        <w:t>APPENDIX</w:t>
      </w:r>
      <w:bookmarkEnd w:id="0"/>
      <w:bookmarkEnd w:id="1"/>
    </w:p>
    <w:p w14:paraId="29E71868">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bookmarkStart w:id="2" w:name="_Toc12154"/>
      <w:bookmarkStart w:id="3" w:name="_Toc20332"/>
      <w:r>
        <w:rPr>
          <w:rFonts w:ascii="DejaVu Sans" w:hAnsi="DejaVu Sans" w:eastAsia="SimSun" w:cs="DejaVu Sans"/>
          <w:b/>
          <w:bCs/>
          <w:caps/>
          <w:color w:val="000000"/>
          <w:kern w:val="0"/>
          <w:sz w:val="24"/>
          <w:szCs w:val="24"/>
          <w:u w:val="single"/>
          <w:lang w:val="en-US" w:eastAsia="zh-CN" w:bidi="ar"/>
        </w:rPr>
        <w:t>Table of Contents</w:t>
      </w:r>
      <w:bookmarkEnd w:id="2"/>
      <w:bookmarkEnd w:id="3"/>
    </w:p>
    <w:p w14:paraId="24C367C5">
      <w:pPr>
        <w:spacing w:before="0" w:beforeLines="0" w:after="0" w:afterLines="0" w:line="240" w:lineRule="auto"/>
        <w:ind w:left="0" w:leftChars="0" w:right="0" w:rightChars="0" w:firstLine="0" w:firstLineChars="0"/>
        <w:jc w:val="center"/>
        <w:rPr>
          <w:rFonts w:ascii="SimSun" w:hAnsi="SimSun" w:eastAsia="SimSun" w:cstheme="minorBidi"/>
          <w:kern w:val="0"/>
          <w:sz w:val="21"/>
          <w:lang w:val="en-US" w:eastAsia="zh-CN" w:bidi="ar"/>
        </w:rPr>
      </w:pP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00"/>
        <w:gridCol w:w="6"/>
      </w:tblGrid>
      <w:tr w14:paraId="12CE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96" w:type="pct"/>
            <w:tcBorders>
              <w:top w:val="nil"/>
              <w:left w:val="nil"/>
              <w:bottom w:val="nil"/>
              <w:right w:val="nil"/>
            </w:tcBorders>
            <w:shd w:val="clear" w:color="auto" w:fill="auto"/>
            <w:tcMar>
              <w:top w:w="40" w:type="dxa"/>
              <w:left w:w="0" w:type="dxa"/>
              <w:bottom w:w="40" w:type="dxa"/>
              <w:right w:w="0" w:type="dxa"/>
            </w:tcMar>
            <w:vAlign w:val="top"/>
          </w:tcPr>
          <w:p w14:paraId="01230342">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0"/>
                <w:lang w:val="en-US" w:eastAsia="zh-CN" w:bidi="ar"/>
              </w:rPr>
            </w:pPr>
            <w:r>
              <w:rPr>
                <w:rFonts w:ascii="SimSun" w:hAnsi="SimSun" w:eastAsia="SimSun" w:cstheme="minorBidi"/>
                <w:kern w:val="0"/>
                <w:sz w:val="21"/>
                <w:lang w:val="en-US" w:eastAsia="zh-CN" w:bidi="ar"/>
              </w:rPr>
              <w:t>Catalog</w:t>
            </w:r>
          </w:p>
          <w:p w14:paraId="00CE2CFC">
            <w:pPr>
              <w:pStyle w:val="18"/>
              <w:tabs>
                <w:tab w:val="right" w:leader="dot" w:pos="8300"/>
              </w:tabs>
            </w:pPr>
            <w:r>
              <w:rPr>
                <w:rFonts w:hint="default" w:ascii="Times New Roman" w:hAnsi="Times New Roman" w:cs="Times New Roman"/>
                <w:color w:val="000000"/>
                <w:sz w:val="24"/>
                <w:szCs w:val="24"/>
              </w:rPr>
              <w:fldChar w:fldCharType="begin"/>
            </w:r>
            <w:r>
              <w:rPr>
                <w:rFonts w:hint="default" w:ascii="Times New Roman" w:hAnsi="Times New Roman" w:cs="Times New Roman"/>
                <w:color w:val="000000"/>
                <w:sz w:val="24"/>
                <w:szCs w:val="24"/>
              </w:rPr>
              <w:instrText xml:space="preserve">TOC \o "1-2" \t "Heading 3,2" \h \u </w:instrText>
            </w:r>
            <w:r>
              <w:rPr>
                <w:rFonts w:hint="default" w:ascii="Times New Roman" w:hAnsi="Times New Roman" w:cs="Times New Roman"/>
                <w:color w:val="000000"/>
                <w:sz w:val="24"/>
                <w:szCs w:val="24"/>
              </w:rPr>
              <w:fldChar w:fldCharType="separate"/>
            </w: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_Toc27066 </w:instrText>
            </w:r>
            <w:r>
              <w:rPr>
                <w:rFonts w:hint="default" w:ascii="Times New Roman" w:hAnsi="Times New Roman" w:cs="Times New Roman"/>
                <w:szCs w:val="24"/>
              </w:rPr>
              <w:fldChar w:fldCharType="separate"/>
            </w:r>
            <w:r>
              <w:t>APPENDIX</w:t>
            </w:r>
            <w:r>
              <w:tab/>
            </w:r>
            <w:r>
              <w:fldChar w:fldCharType="begin"/>
            </w:r>
            <w:r>
              <w:instrText xml:space="preserve"> PAGEREF _Toc27066 \h </w:instrText>
            </w:r>
            <w:r>
              <w:fldChar w:fldCharType="separate"/>
            </w:r>
            <w:r>
              <w:t>A</w:t>
            </w:r>
            <w:r>
              <w:fldChar w:fldCharType="end"/>
            </w:r>
            <w:r>
              <w:rPr>
                <w:rFonts w:hint="default" w:ascii="Times New Roman" w:hAnsi="Times New Roman" w:cs="Times New Roman"/>
                <w:color w:val="000000"/>
                <w:szCs w:val="24"/>
              </w:rPr>
              <w:fldChar w:fldCharType="end"/>
            </w:r>
          </w:p>
          <w:p w14:paraId="0DDD7D54">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_Toc12154 </w:instrText>
            </w:r>
            <w:r>
              <w:rPr>
                <w:rFonts w:hint="default" w:ascii="Times New Roman" w:hAnsi="Times New Roman" w:cs="Times New Roman"/>
                <w:szCs w:val="24"/>
              </w:rPr>
              <w:fldChar w:fldCharType="separate"/>
            </w:r>
            <w:r>
              <w:t>Table of Contents</w:t>
            </w:r>
            <w:r>
              <w:tab/>
            </w:r>
            <w:r>
              <w:fldChar w:fldCharType="begin"/>
            </w:r>
            <w:r>
              <w:instrText xml:space="preserve"> PAGEREF _Toc12154 \h </w:instrText>
            </w:r>
            <w:r>
              <w:fldChar w:fldCharType="separate"/>
            </w:r>
            <w:r>
              <w:t>A</w:t>
            </w:r>
            <w:r>
              <w:fldChar w:fldCharType="end"/>
            </w:r>
            <w:r>
              <w:rPr>
                <w:rFonts w:hint="default" w:ascii="Times New Roman" w:hAnsi="Times New Roman" w:cs="Times New Roman"/>
                <w:color w:val="000000"/>
                <w:szCs w:val="24"/>
              </w:rPr>
              <w:fldChar w:fldCharType="end"/>
            </w:r>
          </w:p>
          <w:p w14:paraId="45B1C3C4">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_Toc25202 </w:instrText>
            </w:r>
            <w:r>
              <w:rPr>
                <w:rFonts w:hint="default" w:ascii="Times New Roman" w:hAnsi="Times New Roman" w:cs="Times New Roman"/>
                <w:szCs w:val="24"/>
              </w:rPr>
              <w:fldChar w:fldCharType="separate"/>
            </w:r>
            <w:r>
              <w:t>Appendix A: Court of Appeals Opinion, No. 87007-6-I (Jan. 26, 2026)</w:t>
            </w:r>
            <w:r>
              <w:tab/>
            </w:r>
            <w:r>
              <w:fldChar w:fldCharType="begin"/>
            </w:r>
            <w:r>
              <w:instrText xml:space="preserve"> PAGEREF _Toc25202 \h </w:instrText>
            </w:r>
            <w:r>
              <w:fldChar w:fldCharType="separate"/>
            </w:r>
            <w:r>
              <w:t>A</w:t>
            </w:r>
            <w:r>
              <w:fldChar w:fldCharType="end"/>
            </w:r>
            <w:r>
              <w:rPr>
                <w:rFonts w:hint="default" w:ascii="Times New Roman" w:hAnsi="Times New Roman" w:cs="Times New Roman"/>
                <w:color w:val="000000"/>
                <w:szCs w:val="24"/>
              </w:rPr>
              <w:fldChar w:fldCharType="end"/>
            </w:r>
          </w:p>
          <w:p w14:paraId="452B12A8">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_Toc2007 </w:instrText>
            </w:r>
            <w:r>
              <w:rPr>
                <w:rFonts w:hint="default" w:ascii="Times New Roman" w:hAnsi="Times New Roman" w:cs="Times New Roman"/>
                <w:szCs w:val="24"/>
              </w:rPr>
              <w:fldChar w:fldCharType="separate"/>
            </w:r>
            <w:r>
              <w:t>Appendix B: Order Denying Reconsideration (Feb. 18, 2026)</w:t>
            </w:r>
            <w:r>
              <w:tab/>
            </w:r>
            <w:r>
              <w:fldChar w:fldCharType="begin"/>
            </w:r>
            <w:r>
              <w:instrText xml:space="preserve"> PAGEREF _Toc2007 \h </w:instrText>
            </w:r>
            <w:r>
              <w:fldChar w:fldCharType="separate"/>
            </w:r>
            <w:r>
              <w:t>A</w:t>
            </w:r>
            <w:r>
              <w:fldChar w:fldCharType="end"/>
            </w:r>
            <w:r>
              <w:rPr>
                <w:rFonts w:hint="default" w:ascii="Times New Roman" w:hAnsi="Times New Roman" w:cs="Times New Roman"/>
                <w:color w:val="000000"/>
                <w:szCs w:val="24"/>
              </w:rPr>
              <w:fldChar w:fldCharType="end"/>
            </w:r>
          </w:p>
          <w:p w14:paraId="713BB97C">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_Toc15341 </w:instrText>
            </w:r>
            <w:r>
              <w:rPr>
                <w:rFonts w:hint="default" w:ascii="Times New Roman" w:hAnsi="Times New Roman" w:cs="Times New Roman"/>
                <w:szCs w:val="24"/>
              </w:rPr>
              <w:fldChar w:fldCharType="separate"/>
            </w:r>
            <w:r>
              <w:t>Appendix C: Side-by-Side Demonstrative Exhibit — Internal Contradictions</w:t>
            </w:r>
            <w:r>
              <w:tab/>
            </w:r>
            <w:r>
              <w:fldChar w:fldCharType="begin"/>
            </w:r>
            <w:r>
              <w:instrText xml:space="preserve"> PAGEREF _Toc15341 \h </w:instrText>
            </w:r>
            <w:r>
              <w:fldChar w:fldCharType="separate"/>
            </w:r>
            <w:r>
              <w:t>B</w:t>
            </w:r>
            <w:r>
              <w:fldChar w:fldCharType="end"/>
            </w:r>
            <w:r>
              <w:rPr>
                <w:rFonts w:hint="default" w:ascii="Times New Roman" w:hAnsi="Times New Roman" w:cs="Times New Roman"/>
                <w:color w:val="000000"/>
                <w:szCs w:val="24"/>
              </w:rPr>
              <w:fldChar w:fldCharType="end"/>
            </w:r>
          </w:p>
          <w:p w14:paraId="433F6D06">
            <w:pPr>
              <w:pStyle w:val="19"/>
              <w:tabs>
                <w:tab w:val="right" w:leader="dot" w:pos="8300"/>
              </w:tabs>
              <w:ind w:left="840" w:hanging="360" w:hangingChars="150"/>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_Toc21833 </w:instrText>
            </w:r>
            <w:r>
              <w:rPr>
                <w:rFonts w:hint="default" w:ascii="Times New Roman" w:hAnsi="Times New Roman" w:cs="Times New Roman"/>
                <w:szCs w:val="24"/>
              </w:rPr>
              <w:fldChar w:fldCharType="separate"/>
            </w:r>
            <w:r>
              <w:t>Appendix D: Side-by-Side Demonstrative Exhibit — Counsel's Mutually Exclusive Positions</w:t>
            </w:r>
            <w:r>
              <w:tab/>
            </w:r>
            <w:r>
              <w:fldChar w:fldCharType="begin"/>
            </w:r>
            <w:r>
              <w:instrText xml:space="preserve"> PAGEREF _Toc21833 \h </w:instrText>
            </w:r>
            <w:r>
              <w:fldChar w:fldCharType="separate"/>
            </w:r>
            <w:r>
              <w:t>C</w:t>
            </w:r>
            <w:r>
              <w:fldChar w:fldCharType="end"/>
            </w:r>
            <w:r>
              <w:rPr>
                <w:rFonts w:hint="default" w:ascii="Times New Roman" w:hAnsi="Times New Roman" w:cs="Times New Roman"/>
                <w:color w:val="000000"/>
                <w:szCs w:val="24"/>
              </w:rPr>
              <w:fldChar w:fldCharType="end"/>
            </w:r>
          </w:p>
          <w:p w14:paraId="44FC1F76">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_Toc16650 </w:instrText>
            </w:r>
            <w:r>
              <w:rPr>
                <w:rFonts w:hint="default" w:ascii="Times New Roman" w:hAnsi="Times New Roman" w:cs="Times New Roman"/>
                <w:szCs w:val="24"/>
              </w:rPr>
              <w:fldChar w:fldCharType="separate"/>
            </w:r>
            <w:r>
              <w:t>Appendix E: Three-Column Exhibit — The Exclusion of Civil Matters</w:t>
            </w:r>
            <w:r>
              <w:tab/>
            </w:r>
            <w:r>
              <w:fldChar w:fldCharType="begin"/>
            </w:r>
            <w:r>
              <w:instrText xml:space="preserve"> PAGEREF _Toc16650 \h </w:instrText>
            </w:r>
            <w:r>
              <w:fldChar w:fldCharType="separate"/>
            </w:r>
            <w:r>
              <w:t>C</w:t>
            </w:r>
            <w:r>
              <w:fldChar w:fldCharType="end"/>
            </w:r>
            <w:r>
              <w:rPr>
                <w:rFonts w:hint="default" w:ascii="Times New Roman" w:hAnsi="Times New Roman" w:cs="Times New Roman"/>
                <w:color w:val="000000"/>
                <w:szCs w:val="24"/>
              </w:rPr>
              <w:fldChar w:fldCharType="end"/>
            </w:r>
          </w:p>
          <w:p w14:paraId="344180D8">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_Toc3130 </w:instrText>
            </w:r>
            <w:r>
              <w:rPr>
                <w:rFonts w:hint="default" w:ascii="Times New Roman" w:hAnsi="Times New Roman" w:cs="Times New Roman"/>
                <w:szCs w:val="24"/>
              </w:rPr>
              <w:fldChar w:fldCharType="separate"/>
            </w:r>
            <w:r>
              <w:t>Appendix F: Side-by-Side Demonstrative Exhibit — Spoliation Contradiction</w:t>
            </w:r>
            <w:r>
              <w:tab/>
            </w:r>
            <w:r>
              <w:fldChar w:fldCharType="begin"/>
            </w:r>
            <w:r>
              <w:instrText xml:space="preserve"> PAGEREF _Toc3130 \h </w:instrText>
            </w:r>
            <w:r>
              <w:fldChar w:fldCharType="separate"/>
            </w:r>
            <w:r>
              <w:t>C</w:t>
            </w:r>
            <w:r>
              <w:fldChar w:fldCharType="end"/>
            </w:r>
            <w:r>
              <w:rPr>
                <w:rFonts w:hint="default" w:ascii="Times New Roman" w:hAnsi="Times New Roman" w:cs="Times New Roman"/>
                <w:color w:val="000000"/>
                <w:szCs w:val="24"/>
              </w:rPr>
              <w:fldChar w:fldCharType="end"/>
            </w:r>
          </w:p>
          <w:p w14:paraId="16C51145">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_Toc7556 </w:instrText>
            </w:r>
            <w:r>
              <w:rPr>
                <w:rFonts w:hint="default" w:ascii="Times New Roman" w:hAnsi="Times New Roman" w:cs="Times New Roman"/>
                <w:szCs w:val="24"/>
              </w:rPr>
              <w:fldChar w:fldCharType="separate"/>
            </w:r>
            <w:r>
              <w:t>Appendix G: Chronological Table of Motions and Dispositions</w:t>
            </w:r>
            <w:r>
              <w:tab/>
            </w:r>
            <w:r>
              <w:fldChar w:fldCharType="begin"/>
            </w:r>
            <w:r>
              <w:instrText xml:space="preserve"> PAGEREF _Toc7556 \h </w:instrText>
            </w:r>
            <w:r>
              <w:fldChar w:fldCharType="separate"/>
            </w:r>
            <w:r>
              <w:t>D</w:t>
            </w:r>
            <w:r>
              <w:fldChar w:fldCharType="end"/>
            </w:r>
            <w:r>
              <w:rPr>
                <w:rFonts w:hint="default" w:ascii="Times New Roman" w:hAnsi="Times New Roman" w:cs="Times New Roman"/>
                <w:color w:val="000000"/>
                <w:szCs w:val="24"/>
              </w:rPr>
              <w:fldChar w:fldCharType="end"/>
            </w:r>
          </w:p>
          <w:p w14:paraId="4C1D6876">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_Toc30343 </w:instrText>
            </w:r>
            <w:r>
              <w:rPr>
                <w:rFonts w:hint="default" w:ascii="Times New Roman" w:hAnsi="Times New Roman" w:cs="Times New Roman"/>
                <w:szCs w:val="24"/>
              </w:rPr>
              <w:fldChar w:fldCharType="separate"/>
            </w:r>
            <w:r>
              <w:t>Appendix H: Opinion, Bennett v. Manning, No. 84951-4-I (Apr. 17, 2023)</w:t>
            </w:r>
            <w:r>
              <w:tab/>
            </w:r>
            <w:r>
              <w:fldChar w:fldCharType="begin"/>
            </w:r>
            <w:r>
              <w:instrText xml:space="preserve"> PAGEREF _Toc30343 \h </w:instrText>
            </w:r>
            <w:r>
              <w:fldChar w:fldCharType="separate"/>
            </w:r>
            <w:r>
              <w:t>D</w:t>
            </w:r>
            <w:r>
              <w:fldChar w:fldCharType="end"/>
            </w:r>
            <w:r>
              <w:rPr>
                <w:rFonts w:hint="default" w:ascii="Times New Roman" w:hAnsi="Times New Roman" w:cs="Times New Roman"/>
                <w:color w:val="000000"/>
                <w:szCs w:val="24"/>
              </w:rPr>
              <w:fldChar w:fldCharType="end"/>
            </w:r>
          </w:p>
          <w:p w14:paraId="5843B4B2">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_Toc21644 </w:instrText>
            </w:r>
            <w:r>
              <w:rPr>
                <w:rFonts w:hint="default" w:ascii="Times New Roman" w:hAnsi="Times New Roman" w:cs="Times New Roman"/>
                <w:szCs w:val="24"/>
              </w:rPr>
              <w:fldChar w:fldCharType="separate"/>
            </w:r>
            <w:r>
              <w:t>Appendix I: Exhibit A (Admitted 12/8/2025) Contact Summary</w:t>
            </w:r>
            <w:r>
              <w:tab/>
            </w:r>
            <w:r>
              <w:fldChar w:fldCharType="begin"/>
            </w:r>
            <w:r>
              <w:instrText xml:space="preserve"> PAGEREF _Toc21644 \h </w:instrText>
            </w:r>
            <w:r>
              <w:fldChar w:fldCharType="separate"/>
            </w:r>
            <w:r>
              <w:t>D</w:t>
            </w:r>
            <w:r>
              <w:fldChar w:fldCharType="end"/>
            </w:r>
            <w:r>
              <w:rPr>
                <w:rFonts w:hint="default" w:ascii="Times New Roman" w:hAnsi="Times New Roman" w:cs="Times New Roman"/>
                <w:color w:val="000000"/>
                <w:szCs w:val="24"/>
              </w:rPr>
              <w:fldChar w:fldCharType="end"/>
            </w:r>
          </w:p>
          <w:p w14:paraId="6F803388">
            <w:pPr>
              <w:pStyle w:val="19"/>
              <w:tabs>
                <w:tab w:val="right" w:leader="dot" w:pos="8300"/>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_Toc4160 </w:instrText>
            </w:r>
            <w:r>
              <w:rPr>
                <w:rFonts w:hint="default" w:ascii="Times New Roman" w:hAnsi="Times New Roman" w:cs="Times New Roman"/>
                <w:szCs w:val="24"/>
              </w:rPr>
              <w:fldChar w:fldCharType="separate"/>
            </w:r>
            <w:r>
              <w:t>Appendix J: Declaration of Zackariah Jeremiah Bennett</w:t>
            </w:r>
            <w:r>
              <w:tab/>
            </w:r>
            <w:r>
              <w:fldChar w:fldCharType="begin"/>
            </w:r>
            <w:r>
              <w:instrText xml:space="preserve"> PAGEREF _Toc4160 \h </w:instrText>
            </w:r>
            <w:r>
              <w:fldChar w:fldCharType="separate"/>
            </w:r>
            <w:r>
              <w:t>E</w:t>
            </w:r>
            <w:r>
              <w:fldChar w:fldCharType="end"/>
            </w:r>
            <w:r>
              <w:rPr>
                <w:rFonts w:hint="default" w:ascii="Times New Roman" w:hAnsi="Times New Roman" w:cs="Times New Roman"/>
                <w:color w:val="000000"/>
                <w:szCs w:val="24"/>
              </w:rPr>
              <w:fldChar w:fldCharType="end"/>
            </w:r>
          </w:p>
          <w:p w14:paraId="66AF0A84">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Cs w:val="24"/>
                <w:lang w:val="en-US" w:eastAsia="zh-CN" w:bidi="ar"/>
              </w:rPr>
              <w:fldChar w:fldCharType="end"/>
            </w:r>
          </w:p>
        </w:tc>
        <w:tc>
          <w:tcPr>
            <w:tcW w:w="3" w:type="pct"/>
            <w:tcBorders>
              <w:top w:val="nil"/>
              <w:left w:val="nil"/>
              <w:bottom w:val="nil"/>
              <w:right w:val="nil"/>
            </w:tcBorders>
            <w:shd w:val="clear" w:color="auto" w:fill="auto"/>
            <w:tcMar>
              <w:top w:w="40" w:type="dxa"/>
              <w:left w:w="0" w:type="dxa"/>
              <w:bottom w:w="40" w:type="dxa"/>
              <w:right w:w="0" w:type="dxa"/>
            </w:tcMar>
            <w:vAlign w:val="top"/>
          </w:tcPr>
          <w:p w14:paraId="56EC38F9">
            <w:pPr>
              <w:keepNext w:val="0"/>
              <w:keepLines w:val="0"/>
              <w:widowControl/>
              <w:suppressLineNumbers w:val="0"/>
              <w:spacing w:line="23" w:lineRule="atLeast"/>
              <w:jc w:val="right"/>
              <w:textAlignment w:val="top"/>
              <w:rPr>
                <w:rFonts w:hint="default" w:ascii="Times New Roman" w:hAnsi="Times New Roman" w:cs="Times New Roman" w:eastAsiaTheme="minorEastAsia"/>
                <w:color w:val="000000"/>
                <w:kern w:val="0"/>
                <w:sz w:val="24"/>
                <w:szCs w:val="24"/>
                <w:lang w:val="en-US" w:eastAsia="zh-CN" w:bidi="ar"/>
              </w:rPr>
            </w:pPr>
          </w:p>
        </w:tc>
      </w:tr>
      <w:tr w14:paraId="1CF12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96" w:type="pct"/>
            <w:tcBorders>
              <w:top w:val="nil"/>
              <w:left w:val="nil"/>
              <w:bottom w:val="nil"/>
              <w:right w:val="nil"/>
            </w:tcBorders>
            <w:shd w:val="clear" w:color="auto" w:fill="auto"/>
            <w:tcMar>
              <w:top w:w="40" w:type="dxa"/>
              <w:left w:w="0" w:type="dxa"/>
              <w:bottom w:w="40" w:type="dxa"/>
              <w:right w:w="0" w:type="dxa"/>
            </w:tcMar>
            <w:vAlign w:val="top"/>
          </w:tcPr>
          <w:p w14:paraId="081FE847">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pPr>
          </w:p>
        </w:tc>
        <w:tc>
          <w:tcPr>
            <w:tcW w:w="3" w:type="pct"/>
            <w:tcBorders>
              <w:top w:val="nil"/>
              <w:left w:val="nil"/>
              <w:bottom w:val="nil"/>
              <w:right w:val="nil"/>
            </w:tcBorders>
            <w:shd w:val="clear" w:color="auto" w:fill="auto"/>
            <w:tcMar>
              <w:top w:w="40" w:type="dxa"/>
              <w:left w:w="0" w:type="dxa"/>
              <w:bottom w:w="40" w:type="dxa"/>
              <w:right w:w="0" w:type="dxa"/>
            </w:tcMar>
            <w:vAlign w:val="top"/>
          </w:tcPr>
          <w:p w14:paraId="7E3159B0">
            <w:pPr>
              <w:keepNext w:val="0"/>
              <w:keepLines w:val="0"/>
              <w:widowControl/>
              <w:suppressLineNumbers w:val="0"/>
              <w:spacing w:line="23" w:lineRule="atLeast"/>
              <w:jc w:val="right"/>
              <w:textAlignment w:val="top"/>
              <w:rPr>
                <w:rFonts w:hint="default" w:ascii="Times New Roman" w:hAnsi="Times New Roman" w:cs="Times New Roman" w:eastAsiaTheme="minorEastAsia"/>
                <w:color w:val="000000"/>
                <w:kern w:val="0"/>
                <w:sz w:val="24"/>
                <w:szCs w:val="24"/>
                <w:lang w:val="en-US" w:eastAsia="zh-CN" w:bidi="ar"/>
              </w:rPr>
            </w:pPr>
          </w:p>
        </w:tc>
      </w:tr>
      <w:tr w14:paraId="04AD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96" w:type="pct"/>
            <w:tcBorders>
              <w:top w:val="nil"/>
              <w:left w:val="nil"/>
              <w:bottom w:val="nil"/>
              <w:right w:val="nil"/>
            </w:tcBorders>
            <w:shd w:val="clear" w:color="auto" w:fill="auto"/>
            <w:tcMar>
              <w:top w:w="40" w:type="dxa"/>
              <w:left w:w="0" w:type="dxa"/>
              <w:bottom w:w="40" w:type="dxa"/>
              <w:right w:w="0" w:type="dxa"/>
            </w:tcMar>
            <w:vAlign w:val="top"/>
          </w:tcPr>
          <w:p w14:paraId="4158A349">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pPr>
          </w:p>
        </w:tc>
        <w:tc>
          <w:tcPr>
            <w:tcW w:w="3" w:type="pct"/>
            <w:tcBorders>
              <w:top w:val="nil"/>
              <w:left w:val="nil"/>
              <w:bottom w:val="nil"/>
              <w:right w:val="nil"/>
            </w:tcBorders>
            <w:shd w:val="clear" w:color="auto" w:fill="auto"/>
            <w:tcMar>
              <w:top w:w="40" w:type="dxa"/>
              <w:left w:w="0" w:type="dxa"/>
              <w:bottom w:w="40" w:type="dxa"/>
              <w:right w:w="0" w:type="dxa"/>
            </w:tcMar>
            <w:vAlign w:val="top"/>
          </w:tcPr>
          <w:p w14:paraId="4B70FAA9">
            <w:pPr>
              <w:keepNext w:val="0"/>
              <w:keepLines w:val="0"/>
              <w:widowControl/>
              <w:suppressLineNumbers w:val="0"/>
              <w:spacing w:line="23" w:lineRule="atLeast"/>
              <w:jc w:val="right"/>
              <w:textAlignment w:val="top"/>
              <w:rPr>
                <w:rFonts w:hint="default" w:ascii="Times New Roman" w:hAnsi="Times New Roman" w:cs="Times New Roman" w:eastAsiaTheme="minorEastAsia"/>
                <w:color w:val="000000"/>
                <w:kern w:val="0"/>
                <w:sz w:val="24"/>
                <w:szCs w:val="24"/>
                <w:lang w:val="en-US" w:eastAsia="zh-CN" w:bidi="ar"/>
              </w:rPr>
            </w:pPr>
          </w:p>
        </w:tc>
      </w:tr>
      <w:tr w14:paraId="71439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96" w:type="pct"/>
            <w:tcBorders>
              <w:top w:val="nil"/>
              <w:left w:val="nil"/>
              <w:bottom w:val="nil"/>
              <w:right w:val="nil"/>
            </w:tcBorders>
            <w:shd w:val="clear" w:color="auto" w:fill="auto"/>
            <w:tcMar>
              <w:top w:w="40" w:type="dxa"/>
              <w:left w:w="0" w:type="dxa"/>
              <w:bottom w:w="40" w:type="dxa"/>
              <w:right w:w="0" w:type="dxa"/>
            </w:tcMar>
            <w:vAlign w:val="top"/>
          </w:tcPr>
          <w:p w14:paraId="442E85E6">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pPr>
          </w:p>
        </w:tc>
        <w:tc>
          <w:tcPr>
            <w:tcW w:w="3" w:type="pct"/>
            <w:tcBorders>
              <w:top w:val="nil"/>
              <w:left w:val="nil"/>
              <w:bottom w:val="nil"/>
              <w:right w:val="nil"/>
            </w:tcBorders>
            <w:shd w:val="clear" w:color="auto" w:fill="auto"/>
            <w:tcMar>
              <w:top w:w="40" w:type="dxa"/>
              <w:left w:w="0" w:type="dxa"/>
              <w:bottom w:w="40" w:type="dxa"/>
              <w:right w:w="0" w:type="dxa"/>
            </w:tcMar>
            <w:vAlign w:val="top"/>
          </w:tcPr>
          <w:p w14:paraId="31FA6686">
            <w:pPr>
              <w:keepNext w:val="0"/>
              <w:keepLines w:val="0"/>
              <w:widowControl/>
              <w:suppressLineNumbers w:val="0"/>
              <w:spacing w:line="23" w:lineRule="atLeast"/>
              <w:jc w:val="right"/>
              <w:textAlignment w:val="top"/>
              <w:rPr>
                <w:rFonts w:hint="default" w:ascii="Times New Roman" w:hAnsi="Times New Roman" w:cs="Times New Roman" w:eastAsiaTheme="minorEastAsia"/>
                <w:color w:val="000000"/>
                <w:kern w:val="0"/>
                <w:sz w:val="24"/>
                <w:szCs w:val="24"/>
                <w:lang w:val="en-US" w:eastAsia="zh-CN" w:bidi="ar"/>
              </w:rPr>
            </w:pPr>
          </w:p>
        </w:tc>
      </w:tr>
      <w:tr w14:paraId="7F97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96" w:type="pct"/>
            <w:tcBorders>
              <w:top w:val="nil"/>
              <w:left w:val="nil"/>
              <w:bottom w:val="nil"/>
              <w:right w:val="nil"/>
            </w:tcBorders>
            <w:shd w:val="clear" w:color="auto" w:fill="auto"/>
            <w:tcMar>
              <w:top w:w="40" w:type="dxa"/>
              <w:left w:w="0" w:type="dxa"/>
              <w:bottom w:w="40" w:type="dxa"/>
              <w:right w:w="0" w:type="dxa"/>
            </w:tcMar>
            <w:vAlign w:val="top"/>
          </w:tcPr>
          <w:p w14:paraId="722BB9C6">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pPr>
          </w:p>
        </w:tc>
        <w:tc>
          <w:tcPr>
            <w:tcW w:w="3" w:type="pct"/>
            <w:tcBorders>
              <w:top w:val="nil"/>
              <w:left w:val="nil"/>
              <w:bottom w:val="nil"/>
              <w:right w:val="nil"/>
            </w:tcBorders>
            <w:shd w:val="clear" w:color="auto" w:fill="auto"/>
            <w:tcMar>
              <w:top w:w="40" w:type="dxa"/>
              <w:left w:w="0" w:type="dxa"/>
              <w:bottom w:w="40" w:type="dxa"/>
              <w:right w:w="0" w:type="dxa"/>
            </w:tcMar>
            <w:vAlign w:val="top"/>
          </w:tcPr>
          <w:p w14:paraId="1BE9E2C7">
            <w:pPr>
              <w:keepNext w:val="0"/>
              <w:keepLines w:val="0"/>
              <w:widowControl/>
              <w:suppressLineNumbers w:val="0"/>
              <w:spacing w:line="23" w:lineRule="atLeast"/>
              <w:jc w:val="right"/>
              <w:textAlignment w:val="top"/>
              <w:rPr>
                <w:rFonts w:hint="default" w:ascii="Times New Roman" w:hAnsi="Times New Roman" w:cs="Times New Roman" w:eastAsiaTheme="minorEastAsia"/>
                <w:color w:val="000000"/>
                <w:kern w:val="0"/>
                <w:sz w:val="24"/>
                <w:szCs w:val="24"/>
                <w:lang w:val="en-US" w:eastAsia="zh-CN" w:bidi="ar"/>
              </w:rPr>
            </w:pPr>
          </w:p>
        </w:tc>
      </w:tr>
      <w:tr w14:paraId="08F61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96" w:type="pct"/>
            <w:tcBorders>
              <w:top w:val="nil"/>
              <w:left w:val="nil"/>
              <w:bottom w:val="nil"/>
              <w:right w:val="nil"/>
            </w:tcBorders>
            <w:shd w:val="clear" w:color="auto" w:fill="auto"/>
            <w:tcMar>
              <w:top w:w="40" w:type="dxa"/>
              <w:left w:w="0" w:type="dxa"/>
              <w:bottom w:w="40" w:type="dxa"/>
              <w:right w:w="0" w:type="dxa"/>
            </w:tcMar>
            <w:vAlign w:val="top"/>
          </w:tcPr>
          <w:p w14:paraId="2C6B9632">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pPr>
          </w:p>
        </w:tc>
        <w:tc>
          <w:tcPr>
            <w:tcW w:w="3" w:type="pct"/>
            <w:tcBorders>
              <w:top w:val="nil"/>
              <w:left w:val="nil"/>
              <w:bottom w:val="nil"/>
              <w:right w:val="nil"/>
            </w:tcBorders>
            <w:shd w:val="clear" w:color="auto" w:fill="auto"/>
            <w:tcMar>
              <w:top w:w="40" w:type="dxa"/>
              <w:left w:w="0" w:type="dxa"/>
              <w:bottom w:w="40" w:type="dxa"/>
              <w:right w:w="0" w:type="dxa"/>
            </w:tcMar>
            <w:vAlign w:val="top"/>
          </w:tcPr>
          <w:p w14:paraId="56820645">
            <w:pPr>
              <w:keepNext w:val="0"/>
              <w:keepLines w:val="0"/>
              <w:widowControl/>
              <w:suppressLineNumbers w:val="0"/>
              <w:spacing w:line="23" w:lineRule="atLeast"/>
              <w:jc w:val="right"/>
              <w:textAlignment w:val="top"/>
              <w:rPr>
                <w:rFonts w:hint="default" w:ascii="Times New Roman" w:hAnsi="Times New Roman" w:cs="Times New Roman" w:eastAsiaTheme="minorEastAsia"/>
                <w:color w:val="000000"/>
                <w:kern w:val="0"/>
                <w:sz w:val="24"/>
                <w:szCs w:val="24"/>
                <w:lang w:val="en-US" w:eastAsia="zh-CN" w:bidi="ar"/>
              </w:rPr>
            </w:pPr>
          </w:p>
        </w:tc>
      </w:tr>
    </w:tbl>
    <w:p w14:paraId="7FE9621E">
      <w:pPr>
        <w:keepNext w:val="0"/>
        <w:keepLines w:val="0"/>
        <w:widowControl/>
        <w:suppressLineNumbers w:val="0"/>
        <w:spacing w:line="23" w:lineRule="atLeast"/>
        <w:jc w:val="left"/>
        <w:textAlignment w:val="top"/>
        <w:rPr>
          <w:rFonts w:hint="default" w:ascii="Times New Roman" w:hAnsi="Times New Roman" w:cs="Times New Roman" w:eastAsiaTheme="minorEastAsia"/>
          <w:color w:val="000000"/>
          <w:kern w:val="0"/>
          <w:sz w:val="24"/>
          <w:szCs w:val="24"/>
          <w:lang w:val="en-US" w:eastAsia="zh-CN" w:bidi="ar"/>
        </w:rPr>
        <w:sectPr>
          <w:footerReference r:id="rId9" w:type="default"/>
          <w:pgSz w:w="11906" w:h="16839"/>
          <w:pgMar w:top="1440" w:right="1800" w:bottom="1440" w:left="1800" w:header="851" w:footer="992" w:gutter="0"/>
          <w:pgNumType w:fmt="upperLetter" w:start="1"/>
          <w:cols w:space="0" w:num="1"/>
        </w:sectPr>
      </w:pPr>
    </w:p>
    <w:p w14:paraId="26C4D0F4">
      <w:pPr>
        <w:keepNext w:val="0"/>
        <w:keepLines w:val="0"/>
        <w:widowControl/>
        <w:suppressLineNumbers w:val="0"/>
        <w:spacing w:beforeAutospacing="1" w:after="200" w:line="30" w:lineRule="atLeast"/>
        <w:jc w:val="both"/>
        <w:outlineLvl w:val="1"/>
        <w:rPr>
          <w:rFonts w:ascii="DejaVu Sans" w:hAnsi="DejaVu Sans" w:eastAsia="SimSun" w:cs="DejaVu Sans"/>
          <w:b/>
          <w:bCs/>
          <w:caps/>
          <w:color w:val="000000"/>
          <w:kern w:val="0"/>
          <w:sz w:val="24"/>
          <w:szCs w:val="24"/>
          <w:u w:val="single"/>
          <w:lang w:val="en-US" w:eastAsia="zh-CN" w:bidi="ar"/>
        </w:rPr>
      </w:pPr>
      <w:bookmarkStart w:id="4" w:name="_Toc18117"/>
      <w:bookmarkStart w:id="5" w:name="_Toc25202"/>
      <w:r>
        <w:rPr>
          <w:rFonts w:ascii="DejaVu Sans" w:hAnsi="DejaVu Sans" w:eastAsia="SimSun" w:cs="DejaVu Sans"/>
          <w:b/>
          <w:bCs/>
          <w:caps/>
          <w:color w:val="000000"/>
          <w:kern w:val="0"/>
          <w:sz w:val="24"/>
          <w:szCs w:val="24"/>
          <w:u w:val="single"/>
          <w:lang w:val="en-US" w:eastAsia="zh-CN" w:bidi="ar"/>
        </w:rPr>
        <w:t>Appendix A: Court of Appeals Opinion, No. 87007-6-I (Jan. 26, 2026)</w:t>
      </w:r>
      <w:bookmarkEnd w:id="4"/>
      <w:bookmarkEnd w:id="5"/>
    </w:p>
    <w:p w14:paraId="1494F9F8">
      <w:pPr>
        <w:pStyle w:val="22"/>
        <w:keepNext w:val="0"/>
        <w:keepLines w:val="0"/>
        <w:widowControl/>
        <w:suppressLineNumbers w:val="0"/>
        <w:spacing w:before="0" w:beforeAutospacing="1"/>
        <w:ind w:left="0" w:right="0"/>
      </w:pPr>
      <w:r>
        <w:rPr>
          <w:rFonts w:hint="default" w:ascii="Times New Roman" w:hAnsi="Times New Roman" w:cs="Times New Roman"/>
          <w:color w:val="000000"/>
        </w:rPr>
        <w:t>Refer to the attached copy of the Unpublished Opinion in Case No. 87007-6-I.</w:t>
      </w:r>
    </w:p>
    <w:p w14:paraId="492BB53B">
      <w:pPr>
        <w:pStyle w:val="15"/>
        <w:keepNext w:val="0"/>
        <w:keepLines w:val="0"/>
        <w:widowControl/>
        <w:suppressLineNumbers w:val="0"/>
        <w:spacing w:line="30" w:lineRule="atLeast"/>
      </w:pPr>
      <w:r>
        <w:rPr>
          <w:rFonts w:hint="default" w:ascii="Times New Roman" w:hAnsi="Times New Roman" w:cs="Times New Roman"/>
          <w:color w:val="000000"/>
          <w:sz w:val="24"/>
          <w:szCs w:val="24"/>
        </w:rPr>
        <w:t>The Court of Appeals affirmed the trial court's summary judgment. Critical findings for review include the court's assertion at pages 1 and 10 that Petitioner made "no contact" with the minor child between 2008 and 2019, and the court's refusal at page 4, footnote 1, to conduct a full de novo review due to the absence of transcripts—transcripts which the trial court refused to fund in violation of published precedent.</w:t>
      </w:r>
    </w:p>
    <w:p w14:paraId="1CCC8002">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bookmarkStart w:id="6" w:name="_Toc2007"/>
      <w:bookmarkStart w:id="7" w:name="_Toc6547"/>
      <w:r>
        <w:rPr>
          <w:rFonts w:ascii="DejaVu Sans" w:hAnsi="DejaVu Sans" w:eastAsia="SimSun" w:cs="DejaVu Sans"/>
          <w:b/>
          <w:bCs/>
          <w:caps/>
          <w:color w:val="000000"/>
          <w:kern w:val="0"/>
          <w:sz w:val="24"/>
          <w:szCs w:val="24"/>
          <w:u w:val="single"/>
          <w:lang w:val="en-US" w:eastAsia="zh-CN" w:bidi="ar"/>
        </w:rPr>
        <w:t>Appendix B: Order Denying Reconsideration (Feb. 18, 2026)</w:t>
      </w:r>
      <w:bookmarkEnd w:id="6"/>
      <w:bookmarkEnd w:id="7"/>
    </w:p>
    <w:p w14:paraId="3A33BE06">
      <w:pPr>
        <w:pStyle w:val="22"/>
        <w:keepNext w:val="0"/>
        <w:keepLines w:val="0"/>
        <w:widowControl/>
        <w:suppressLineNumbers w:val="0"/>
        <w:spacing w:before="0" w:beforeAutospacing="1"/>
        <w:ind w:left="0" w:right="0"/>
      </w:pPr>
      <w:r>
        <w:rPr>
          <w:rFonts w:hint="default" w:ascii="Times New Roman" w:hAnsi="Times New Roman" w:cs="Times New Roman"/>
          <w:color w:val="000000"/>
        </w:rPr>
        <w:t>Refer to the attached Order from the Court of Appeals, Division One.</w:t>
      </w:r>
    </w:p>
    <w:p w14:paraId="007FFE05">
      <w:pPr>
        <w:pStyle w:val="15"/>
        <w:keepNext w:val="0"/>
        <w:keepLines w:val="0"/>
        <w:widowControl/>
        <w:suppressLineNumbers w:val="0"/>
        <w:spacing w:line="30" w:lineRule="atLeast"/>
      </w:pPr>
      <w:r>
        <w:rPr>
          <w:rFonts w:hint="default" w:ascii="Times New Roman" w:hAnsi="Times New Roman" w:cs="Times New Roman"/>
          <w:color w:val="000000"/>
          <w:sz w:val="24"/>
          <w:szCs w:val="24"/>
        </w:rPr>
        <w:t>Petitioner moved for reconsideration identifying manifest errors of fact regarding admitted Exhibit A and manifest errors of law regarding the "indigency trap." The Court denied reconsideration without addressing these specific points.</w:t>
      </w:r>
    </w:p>
    <w:p w14:paraId="149A008A">
      <w:pPr>
        <w:bidi w:val="0"/>
        <w:spacing w:beforeAutospacing="1" w:after="200" w:line="30" w:lineRule="atLeast"/>
        <w:jc w:val="center"/>
        <w:outlineLvl w:val="1"/>
        <w:rPr>
          <w:rFonts w:hint="default" w:ascii="DejaVu Sans" w:hAnsi="DejaVu Sans" w:eastAsia="SimSun" w:cs="DejaVu Sans"/>
          <w:b/>
          <w:bCs/>
          <w:caps/>
          <w:color w:val="000000"/>
          <w:kern w:val="0"/>
          <w:sz w:val="24"/>
          <w:szCs w:val="24"/>
          <w:u w:val="single"/>
          <w:lang w:val="en-US" w:eastAsia="zh-CN" w:bidi="ar"/>
        </w:rPr>
      </w:pPr>
      <w:bookmarkStart w:id="8" w:name="_Toc26892"/>
      <w:bookmarkStart w:id="9" w:name="_Toc15341"/>
      <w:r>
        <w:rPr>
          <w:rFonts w:hint="default" w:ascii="DejaVu Sans" w:hAnsi="DejaVu Sans" w:eastAsia="SimSun" w:cs="DejaVu Sans"/>
          <w:b/>
          <w:bCs/>
          <w:caps/>
          <w:color w:val="000000"/>
          <w:kern w:val="0"/>
          <w:sz w:val="24"/>
          <w:szCs w:val="24"/>
          <w:u w:val="single"/>
          <w:lang w:val="en-US" w:eastAsia="zh-CN" w:bidi="ar"/>
        </w:rPr>
        <w:t>Appendix C: Side-by-Side Demonstrative Exhibit — Internal Contradictions</w:t>
      </w:r>
      <w:bookmarkEnd w:id="8"/>
      <w:bookmarkEnd w:id="9"/>
    </w:p>
    <w:p w14:paraId="05A4897B">
      <w:pPr>
        <w:pStyle w:val="4"/>
        <w:bidi w:val="0"/>
        <w:rPr>
          <w:lang w:val="en-US" w:eastAsia="zh-CN"/>
        </w:rPr>
      </w:pPr>
      <w:r>
        <w:rPr>
          <w:rFonts w:hint="default"/>
          <w:lang w:val="en-US" w:eastAsia="zh-CN"/>
        </w:rPr>
        <w:t>Part 1: Manning's Sworn Declaration (Sept. 19, 2023)</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3"/>
        <w:gridCol w:w="4353"/>
      </w:tblGrid>
      <w:tr w14:paraId="0FF90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585BB591">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Page 2, lines 9-10</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2BC5F188">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Page 6, lines 16-18 (Same Document)</w:t>
            </w:r>
          </w:p>
        </w:tc>
      </w:tr>
      <w:tr w14:paraId="70A86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1DCAC49F">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"Mr. Bennett </w:t>
            </w:r>
            <w:r>
              <w:rPr>
                <w:rStyle w:val="23"/>
                <w:rFonts w:hint="default" w:ascii="Times New Roman" w:hAnsi="Times New Roman" w:eastAsia="SimSun" w:cs="Times New Roman"/>
                <w:color w:val="000000"/>
                <w:kern w:val="0"/>
                <w:sz w:val="24"/>
                <w:szCs w:val="24"/>
                <w:lang w:val="en-US" w:eastAsia="zh-CN" w:bidi="ar"/>
              </w:rPr>
              <w:t>never made any attempt</w:t>
            </w:r>
            <w:r>
              <w:rPr>
                <w:rFonts w:hint="default" w:ascii="Times New Roman" w:hAnsi="Times New Roman" w:eastAsia="SimSun" w:cs="Times New Roman"/>
                <w:color w:val="000000"/>
                <w:kern w:val="0"/>
                <w:sz w:val="24"/>
                <w:szCs w:val="24"/>
                <w:lang w:val="en-US" w:eastAsia="zh-CN" w:bidi="ar"/>
              </w:rPr>
              <w:t xml:space="preserve"> to contact TB from 2008 until June 23, 2019."</w:t>
            </w:r>
          </w:p>
        </w:tc>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42BA2333">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"...Mr. Bennett never reached out... </w:t>
            </w:r>
            <w:r>
              <w:rPr>
                <w:rStyle w:val="23"/>
                <w:rFonts w:hint="default" w:ascii="Times New Roman" w:hAnsi="Times New Roman" w:eastAsia="SimSun" w:cs="Times New Roman"/>
                <w:color w:val="000000"/>
                <w:kern w:val="0"/>
                <w:sz w:val="24"/>
                <w:szCs w:val="24"/>
                <w:lang w:val="en-US" w:eastAsia="zh-CN" w:bidi="ar"/>
              </w:rPr>
              <w:t>one or two letters during the roughly 4 years he was in prison.</w:t>
            </w:r>
            <w:r>
              <w:rPr>
                <w:rFonts w:hint="default" w:ascii="Times New Roman" w:hAnsi="Times New Roman" w:eastAsia="SimSun" w:cs="Times New Roman"/>
                <w:color w:val="000000"/>
                <w:kern w:val="0"/>
                <w:sz w:val="24"/>
                <w:szCs w:val="24"/>
                <w:lang w:val="en-US" w:eastAsia="zh-CN" w:bidi="ar"/>
              </w:rPr>
              <w:t>"</w:t>
            </w:r>
          </w:p>
        </w:tc>
      </w:tr>
    </w:tbl>
    <w:p w14:paraId="48D1AA85">
      <w:pPr>
        <w:bidi w:val="0"/>
        <w:spacing w:before="0" w:beforeAutospacing="1" w:after="0" w:afterAutospacing="1" w:line="30" w:lineRule="atLeast"/>
        <w:ind w:left="0" w:right="0"/>
        <w:jc w:val="left"/>
        <w:outlineLvl w:val="2"/>
        <w:rPr>
          <w:rFonts w:ascii="Times New Roman" w:hAnsi="Times New Roman" w:cs="Times New Roman" w:eastAsiaTheme="minorEastAsia"/>
          <w:b/>
          <w:bCs/>
          <w:color w:val="000000"/>
          <w:kern w:val="0"/>
          <w:sz w:val="24"/>
          <w:szCs w:val="24"/>
          <w:lang w:val="en-US" w:eastAsia="zh-CN" w:bidi="ar"/>
        </w:rPr>
      </w:pPr>
      <w:r>
        <w:rPr>
          <w:rFonts w:hint="default" w:ascii="Times New Roman" w:hAnsi="Times New Roman" w:cs="Times New Roman" w:eastAsiaTheme="minorEastAsia"/>
          <w:b/>
          <w:bCs/>
          <w:color w:val="000000"/>
          <w:kern w:val="0"/>
          <w:sz w:val="24"/>
          <w:szCs w:val="24"/>
          <w:lang w:val="en-US" w:eastAsia="zh-CN" w:bidi="ar"/>
        </w:rPr>
        <w:t>Part 2: 2008 Findings of Fact (Case No. 08-3-03956-4)</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3"/>
        <w:gridCol w:w="4353"/>
      </w:tblGrid>
      <w:tr w14:paraId="448E9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056D807D">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Page 3, Section 2.4 / 2.7</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34A1079B">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Page 5, Section 2.11</w:t>
            </w:r>
          </w:p>
        </w:tc>
      </w:tr>
      <w:tr w14:paraId="6BC5EC56">
        <w:tblPrEx>
          <w:shd w:val="clear" w:color="auto" w:fill="auto"/>
          <w:tblCellMar>
            <w:top w:w="15" w:type="dxa"/>
            <w:left w:w="15" w:type="dxa"/>
            <w:bottom w:w="15" w:type="dxa"/>
            <w:right w:w="15" w:type="dxa"/>
          </w:tblCellMar>
        </w:tblPrEx>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C33516C">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"[X] children have been </w:t>
            </w:r>
            <w:r>
              <w:rPr>
                <w:rStyle w:val="23"/>
                <w:rFonts w:hint="default" w:ascii="Times New Roman" w:hAnsi="Times New Roman" w:eastAsia="SimSun" w:cs="Times New Roman"/>
                <w:color w:val="000000"/>
                <w:kern w:val="0"/>
                <w:sz w:val="24"/>
                <w:szCs w:val="24"/>
                <w:lang w:val="en-US" w:eastAsia="zh-CN" w:bidi="ar"/>
              </w:rPr>
              <w:t>abandoned</w:t>
            </w:r>
            <w:r>
              <w:rPr>
                <w:rFonts w:hint="default" w:ascii="Times New Roman" w:hAnsi="Times New Roman" w:eastAsia="SimSun" w:cs="Times New Roman"/>
                <w:color w:val="000000"/>
                <w:kern w:val="0"/>
                <w:sz w:val="24"/>
                <w:szCs w:val="24"/>
                <w:lang w:val="en-US" w:eastAsia="zh-CN" w:bidi="ar"/>
              </w:rPr>
              <w:t xml:space="preserve">" / "Parent's </w:t>
            </w:r>
            <w:r>
              <w:rPr>
                <w:rStyle w:val="23"/>
                <w:rFonts w:hint="default" w:ascii="Times New Roman" w:hAnsi="Times New Roman" w:eastAsia="SimSun" w:cs="Times New Roman"/>
                <w:color w:val="000000"/>
                <w:kern w:val="0"/>
                <w:sz w:val="24"/>
                <w:szCs w:val="24"/>
                <w:lang w:val="en-US" w:eastAsia="zh-CN" w:bidi="ar"/>
              </w:rPr>
              <w:t>abandoned</w:t>
            </w:r>
            <w:r>
              <w:rPr>
                <w:rFonts w:hint="default" w:ascii="Times New Roman" w:hAnsi="Times New Roman" w:eastAsia="SimSun" w:cs="Times New Roman"/>
                <w:color w:val="000000"/>
                <w:kern w:val="0"/>
                <w:sz w:val="24"/>
                <w:szCs w:val="24"/>
                <w:lang w:val="en-US" w:eastAsia="zh-CN" w:bidi="ar"/>
              </w:rPr>
              <w:t xml:space="preserve"> child to Petitioner"</w:t>
            </w:r>
          </w:p>
        </w:tc>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1323FA6A">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"[X] Both parents </w:t>
            </w:r>
            <w:r>
              <w:rPr>
                <w:rStyle w:val="23"/>
                <w:rFonts w:hint="default" w:ascii="Times New Roman" w:hAnsi="Times New Roman" w:eastAsia="SimSun" w:cs="Times New Roman"/>
                <w:color w:val="000000"/>
                <w:kern w:val="0"/>
                <w:sz w:val="24"/>
                <w:szCs w:val="24"/>
                <w:lang w:val="en-US" w:eastAsia="zh-CN" w:bidi="ar"/>
              </w:rPr>
              <w:t>threaten to remove child</w:t>
            </w:r>
            <w:r>
              <w:rPr>
                <w:rFonts w:hint="default" w:ascii="Times New Roman" w:hAnsi="Times New Roman" w:eastAsia="SimSun" w:cs="Times New Roman"/>
                <w:color w:val="000000"/>
                <w:kern w:val="0"/>
                <w:sz w:val="24"/>
                <w:szCs w:val="24"/>
                <w:lang w:val="en-US" w:eastAsia="zh-CN" w:bidi="ar"/>
              </w:rPr>
              <w:t xml:space="preserve"> from State of Washington"</w:t>
            </w:r>
          </w:p>
        </w:tc>
      </w:tr>
    </w:tbl>
    <w:p w14:paraId="280BCDD9">
      <w:pPr>
        <w:keepNext w:val="0"/>
        <w:keepLines w:val="0"/>
        <w:widowControl/>
        <w:suppressLineNumbers w:val="0"/>
        <w:spacing w:line="30" w:lineRule="atLeast"/>
        <w:outlineLvl w:val="1"/>
        <w:rPr>
          <w:color w:val="000000"/>
        </w:rPr>
        <w:sectPr>
          <w:footerReference r:id="rId10" w:type="default"/>
          <w:type w:val="continuous"/>
          <w:pgSz w:w="11906" w:h="16839"/>
          <w:pgMar w:top="1440" w:right="1800" w:bottom="1440" w:left="1800" w:header="851" w:footer="992" w:gutter="0"/>
          <w:pgNumType w:fmt="upperLetter" w:start="1"/>
          <w:cols w:space="0" w:num="1"/>
        </w:sectPr>
      </w:pPr>
      <w:bookmarkStart w:id="10" w:name="_Toc2986"/>
      <w:bookmarkStart w:id="11" w:name="_Toc21833"/>
    </w:p>
    <w:p w14:paraId="4B129E57">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r>
        <w:rPr>
          <w:rFonts w:ascii="DejaVu Sans" w:hAnsi="DejaVu Sans" w:eastAsia="SimSun" w:cs="DejaVu Sans"/>
          <w:b/>
          <w:bCs/>
          <w:caps/>
          <w:color w:val="000000"/>
          <w:kern w:val="0"/>
          <w:sz w:val="24"/>
          <w:szCs w:val="24"/>
          <w:u w:val="single"/>
          <w:lang w:val="en-US" w:eastAsia="zh-CN" w:bidi="ar"/>
        </w:rPr>
        <w:t>Appendix D: Side-by-Side Demonstrative Exhibit — Counsel's Mutually Exclusive Positions</w:t>
      </w:r>
      <w:bookmarkEnd w:id="10"/>
      <w:bookmarkEnd w:id="11"/>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3"/>
        <w:gridCol w:w="4353"/>
      </w:tblGrid>
      <w:tr w14:paraId="7E79B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48DE2E7C">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Gass to Supreme Court (6/21/2024)</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2D47DF98">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Gass to Superior Court (6/28/2024)</w:t>
            </w:r>
          </w:p>
        </w:tc>
      </w:tr>
      <w:tr w14:paraId="4C0D5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2C2405E6">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"This evidence [2011 video/logs] is related to that case and </w:t>
            </w:r>
            <w:r>
              <w:rPr>
                <w:rStyle w:val="23"/>
                <w:rFonts w:hint="default" w:ascii="Times New Roman" w:hAnsi="Times New Roman" w:eastAsia="SimSun" w:cs="Times New Roman"/>
                <w:color w:val="000000"/>
                <w:kern w:val="0"/>
                <w:sz w:val="24"/>
                <w:szCs w:val="24"/>
                <w:lang w:val="en-US" w:eastAsia="zh-CN" w:bidi="ar"/>
              </w:rPr>
              <w:t>not relevant to this case</w:t>
            </w:r>
            <w:r>
              <w:rPr>
                <w:rFonts w:hint="default" w:ascii="Times New Roman" w:hAnsi="Times New Roman" w:eastAsia="SimSun" w:cs="Times New Roman"/>
                <w:color w:val="000000"/>
                <w:kern w:val="0"/>
                <w:sz w:val="24"/>
                <w:szCs w:val="24"/>
                <w:lang w:val="en-US" w:eastAsia="zh-CN" w:bidi="ar"/>
              </w:rPr>
              <w:t xml:space="preserve"> [the DVPO]."</w:t>
            </w:r>
          </w:p>
        </w:tc>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27E0DDF0">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"All of these issues have been addressed by a court, </w:t>
            </w:r>
            <w:r>
              <w:rPr>
                <w:rStyle w:val="23"/>
                <w:rFonts w:hint="default" w:ascii="Times New Roman" w:hAnsi="Times New Roman" w:eastAsia="SimSun" w:cs="Times New Roman"/>
                <w:color w:val="000000"/>
                <w:kern w:val="0"/>
                <w:sz w:val="24"/>
                <w:szCs w:val="24"/>
                <w:lang w:val="en-US" w:eastAsia="zh-CN" w:bidi="ar"/>
              </w:rPr>
              <w:t>they've been adjudicated.</w:t>
            </w:r>
            <w:r>
              <w:rPr>
                <w:rFonts w:hint="default" w:ascii="Times New Roman" w:hAnsi="Times New Roman" w:eastAsia="SimSun" w:cs="Times New Roman"/>
                <w:color w:val="000000"/>
                <w:kern w:val="0"/>
                <w:sz w:val="24"/>
                <w:szCs w:val="24"/>
                <w:lang w:val="en-US" w:eastAsia="zh-CN" w:bidi="ar"/>
              </w:rPr>
              <w:t>"</w:t>
            </w:r>
          </w:p>
        </w:tc>
      </w:tr>
      <w:tr w14:paraId="704C5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76B1B638">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Source:</w:t>
            </w:r>
            <w:r>
              <w:rPr>
                <w:rFonts w:hint="default" w:ascii="Times New Roman" w:hAnsi="Times New Roman" w:eastAsia="SimSun" w:cs="Times New Roman"/>
                <w:color w:val="000000"/>
                <w:kern w:val="0"/>
                <w:sz w:val="24"/>
                <w:szCs w:val="24"/>
                <w:lang w:val="en-US" w:eastAsia="zh-CN" w:bidi="ar"/>
              </w:rPr>
              <w:t xml:space="preserve"> Answer to Petition for Review (102950-1).</w:t>
            </w:r>
          </w:p>
        </w:tc>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504271E">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Source:</w:t>
            </w:r>
            <w:r>
              <w:rPr>
                <w:rFonts w:hint="default" w:ascii="Times New Roman" w:hAnsi="Times New Roman" w:eastAsia="SimSun" w:cs="Times New Roman"/>
                <w:color w:val="000000"/>
                <w:kern w:val="0"/>
                <w:sz w:val="24"/>
                <w:szCs w:val="24"/>
                <w:lang w:val="en-US" w:eastAsia="zh-CN" w:bidi="ar"/>
              </w:rPr>
              <w:t xml:space="preserve"> Summary Judgment Argument (23-2-11352-7).</w:t>
            </w:r>
          </w:p>
        </w:tc>
      </w:tr>
    </w:tbl>
    <w:p w14:paraId="038AC6CD">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bookmarkStart w:id="12" w:name="_Toc16650"/>
      <w:bookmarkStart w:id="13" w:name="_Toc30373"/>
      <w:r>
        <w:rPr>
          <w:rFonts w:ascii="DejaVu Sans" w:hAnsi="DejaVu Sans" w:eastAsia="SimSun" w:cs="DejaVu Sans"/>
          <w:b/>
          <w:bCs/>
          <w:caps/>
          <w:color w:val="000000"/>
          <w:kern w:val="0"/>
          <w:sz w:val="24"/>
          <w:szCs w:val="24"/>
          <w:u w:val="single"/>
          <w:lang w:val="en-US" w:eastAsia="zh-CN" w:bidi="ar"/>
        </w:rPr>
        <w:t>Appendix E: Three-Column Exhibit — The Exclusion of Civil Matters</w:t>
      </w:r>
      <w:bookmarkEnd w:id="12"/>
      <w:bookmarkEnd w:id="13"/>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02"/>
        <w:gridCol w:w="2902"/>
        <w:gridCol w:w="2902"/>
      </w:tblGrid>
      <w:tr w14:paraId="54773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5E0A7732">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1. DVPO Judge (8/5/2022)</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480534DF">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2. Gass to Supreme Court (6/21/2024)</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6B940A2F">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3. Gass to Superior Court (6/28/2024)</w:t>
            </w:r>
          </w:p>
        </w:tc>
      </w:tr>
      <w:tr w14:paraId="6723F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66"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071C6048">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"Anything that is </w:t>
            </w:r>
            <w:r>
              <w:rPr>
                <w:rStyle w:val="23"/>
                <w:rFonts w:hint="default" w:ascii="Times New Roman" w:hAnsi="Times New Roman" w:eastAsia="SimSun" w:cs="Times New Roman"/>
                <w:color w:val="000000"/>
                <w:kern w:val="0"/>
                <w:sz w:val="24"/>
                <w:szCs w:val="24"/>
                <w:lang w:val="en-US" w:eastAsia="zh-CN" w:bidi="ar"/>
              </w:rPr>
              <w:t>beyond the scope of why we’re here</w:t>
            </w:r>
            <w:r>
              <w:rPr>
                <w:rFonts w:hint="default" w:ascii="Times New Roman" w:hAnsi="Times New Roman" w:eastAsia="SimSun" w:cs="Times New Roman"/>
                <w:color w:val="000000"/>
                <w:kern w:val="0"/>
                <w:sz w:val="24"/>
                <w:szCs w:val="24"/>
                <w:lang w:val="en-US" w:eastAsia="zh-CN" w:bidi="ar"/>
              </w:rPr>
              <w:t xml:space="preserve"> is not going to be something that I want to you focus in your testimony."</w:t>
            </w:r>
          </w:p>
        </w:tc>
        <w:tc>
          <w:tcPr>
            <w:tcW w:w="1666"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12A8DC87">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"This evidence is... </w:t>
            </w:r>
            <w:r>
              <w:rPr>
                <w:rStyle w:val="23"/>
                <w:rFonts w:hint="default" w:ascii="Times New Roman" w:hAnsi="Times New Roman" w:eastAsia="SimSun" w:cs="Times New Roman"/>
                <w:color w:val="000000"/>
                <w:kern w:val="0"/>
                <w:sz w:val="24"/>
                <w:szCs w:val="24"/>
                <w:lang w:val="en-US" w:eastAsia="zh-CN" w:bidi="ar"/>
              </w:rPr>
              <w:t>not relevant to this case</w:t>
            </w:r>
            <w:r>
              <w:rPr>
                <w:rFonts w:hint="default" w:ascii="Times New Roman" w:hAnsi="Times New Roman" w:eastAsia="SimSun" w:cs="Times New Roman"/>
                <w:color w:val="000000"/>
                <w:kern w:val="0"/>
                <w:sz w:val="24"/>
                <w:szCs w:val="24"/>
                <w:lang w:val="en-US" w:eastAsia="zh-CN" w:bidi="ar"/>
              </w:rPr>
              <w:t xml:space="preserve"> [the DVPO]."</w:t>
            </w:r>
            <w:r>
              <w:rPr>
                <w:rStyle w:val="11"/>
                <w:rFonts w:hint="default" w:ascii="Times New Roman" w:hAnsi="Times New Roman" w:eastAsia="SimSun" w:cs="Times New Roman"/>
                <w:color w:val="000000"/>
                <w:kern w:val="0"/>
                <w:sz w:val="24"/>
                <w:szCs w:val="24"/>
                <w:lang w:val="en-US" w:eastAsia="zh-CN" w:bidi="ar"/>
              </w:rPr>
              <w:footnoteReference w:id="0"/>
            </w:r>
          </w:p>
        </w:tc>
        <w:tc>
          <w:tcPr>
            <w:tcW w:w="1666"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70530CA0">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"All of these issues have been addressed by a court, </w:t>
            </w:r>
            <w:r>
              <w:rPr>
                <w:rStyle w:val="23"/>
                <w:rFonts w:hint="default" w:ascii="Times New Roman" w:hAnsi="Times New Roman" w:eastAsia="SimSun" w:cs="Times New Roman"/>
                <w:color w:val="000000"/>
                <w:kern w:val="0"/>
                <w:sz w:val="24"/>
                <w:szCs w:val="24"/>
                <w:lang w:val="en-US" w:eastAsia="zh-CN" w:bidi="ar"/>
              </w:rPr>
              <w:t>they've been adjudicated.</w:t>
            </w:r>
            <w:r>
              <w:rPr>
                <w:rFonts w:hint="default" w:ascii="Times New Roman" w:hAnsi="Times New Roman" w:eastAsia="SimSun" w:cs="Times New Roman"/>
                <w:color w:val="000000"/>
                <w:kern w:val="0"/>
                <w:sz w:val="24"/>
                <w:szCs w:val="24"/>
                <w:lang w:val="en-US" w:eastAsia="zh-CN" w:bidi="ar"/>
              </w:rPr>
              <w:t>"</w:t>
            </w:r>
          </w:p>
        </w:tc>
      </w:tr>
    </w:tbl>
    <w:p w14:paraId="0358ADAD">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bookmarkStart w:id="14" w:name="_Toc3130"/>
      <w:bookmarkStart w:id="15" w:name="_Toc27490"/>
      <w:r>
        <w:rPr>
          <w:rFonts w:ascii="DejaVu Sans" w:hAnsi="DejaVu Sans" w:eastAsia="SimSun" w:cs="DejaVu Sans"/>
          <w:b/>
          <w:bCs/>
          <w:caps/>
          <w:color w:val="000000"/>
          <w:kern w:val="0"/>
          <w:sz w:val="24"/>
          <w:szCs w:val="24"/>
          <w:u w:val="single"/>
          <w:lang w:val="en-US" w:eastAsia="zh-CN" w:bidi="ar"/>
        </w:rPr>
        <w:t>Appendix F: Side-by-Side Demonstrative Exhibit — Spoliation Contradiction</w:t>
      </w:r>
      <w:bookmarkEnd w:id="14"/>
      <w:bookmarkEnd w:id="15"/>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3"/>
        <w:gridCol w:w="4353"/>
      </w:tblGrid>
      <w:tr w14:paraId="5E677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4CB951EA">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Gass Email to Bennett (5/20/2024)</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6C19D0EC">
            <w:pPr>
              <w:keepNext w:val="0"/>
              <w:keepLines w:val="0"/>
              <w:widowControl/>
              <w:suppressLineNumbers w:val="0"/>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Gass Filing to Court (5/22/2024)</w:t>
            </w:r>
          </w:p>
        </w:tc>
      </w:tr>
      <w:tr w14:paraId="00AD5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4A33975">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"Her system </w:t>
            </w:r>
            <w:r>
              <w:rPr>
                <w:rStyle w:val="23"/>
                <w:rFonts w:hint="default" w:ascii="Times New Roman" w:hAnsi="Times New Roman" w:eastAsia="SimSun" w:cs="Times New Roman"/>
                <w:color w:val="000000"/>
                <w:kern w:val="0"/>
                <w:sz w:val="24"/>
                <w:szCs w:val="24"/>
                <w:lang w:val="en-US" w:eastAsia="zh-CN" w:bidi="ar"/>
              </w:rPr>
              <w:t>deletes videos every 30 days.</w:t>
            </w:r>
            <w:r>
              <w:rPr>
                <w:rFonts w:hint="default" w:ascii="Times New Roman" w:hAnsi="Times New Roman" w:eastAsia="SimSun" w:cs="Times New Roman"/>
                <w:color w:val="000000"/>
                <w:kern w:val="0"/>
                <w:sz w:val="24"/>
                <w:szCs w:val="24"/>
                <w:lang w:val="en-US" w:eastAsia="zh-CN" w:bidi="ar"/>
              </w:rPr>
              <w:t xml:space="preserve"> The only way she knew how to preserve... was to record it on her cell phone."</w:t>
            </w:r>
          </w:p>
        </w:tc>
        <w:tc>
          <w:tcPr>
            <w:tcW w:w="2500" w:type="pct"/>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14719A37">
            <w:pPr>
              <w:keepNext w:val="0"/>
              <w:keepLines w:val="0"/>
              <w:widowControl/>
              <w:suppressLineNumbers w:val="0"/>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"The Defendant [Manning] </w:t>
            </w:r>
            <w:r>
              <w:rPr>
                <w:rStyle w:val="23"/>
                <w:rFonts w:hint="default" w:ascii="Times New Roman" w:hAnsi="Times New Roman" w:eastAsia="SimSun" w:cs="Times New Roman"/>
                <w:color w:val="000000"/>
                <w:kern w:val="0"/>
                <w:sz w:val="24"/>
                <w:szCs w:val="24"/>
                <w:lang w:val="en-US" w:eastAsia="zh-CN" w:bidi="ar"/>
              </w:rPr>
              <w:t>did not spoliate evidence</w:t>
            </w:r>
            <w:r>
              <w:rPr>
                <w:rFonts w:hint="default" w:ascii="Times New Roman" w:hAnsi="Times New Roman" w:eastAsia="SimSun" w:cs="Times New Roman"/>
                <w:color w:val="000000"/>
                <w:kern w:val="0"/>
                <w:sz w:val="24"/>
                <w:szCs w:val="24"/>
                <w:lang w:val="en-US" w:eastAsia="zh-CN" w:bidi="ar"/>
              </w:rPr>
              <w:t>... the video still exists."</w:t>
            </w:r>
          </w:p>
        </w:tc>
      </w:tr>
    </w:tbl>
    <w:p w14:paraId="4977DD1B">
      <w:pPr>
        <w:keepNext w:val="0"/>
        <w:keepLines w:val="0"/>
        <w:widowControl/>
        <w:suppressLineNumbers w:val="0"/>
        <w:spacing w:line="30" w:lineRule="atLeast"/>
        <w:outlineLvl w:val="1"/>
        <w:rPr>
          <w:color w:val="000000"/>
        </w:rPr>
        <w:sectPr>
          <w:pgSz w:w="11906" w:h="16839"/>
          <w:pgMar w:top="1440" w:right="1800" w:bottom="1440" w:left="1800" w:header="851" w:footer="992" w:gutter="0"/>
          <w:pgNumType w:fmt="upperLetter"/>
          <w:cols w:space="0" w:num="1"/>
        </w:sectPr>
      </w:pPr>
      <w:bookmarkStart w:id="16" w:name="_Toc8590"/>
      <w:bookmarkStart w:id="17" w:name="_Toc7556"/>
    </w:p>
    <w:p w14:paraId="5CDEEB14">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r>
        <w:rPr>
          <w:rFonts w:ascii="DejaVu Sans" w:hAnsi="DejaVu Sans" w:eastAsia="SimSun" w:cs="DejaVu Sans"/>
          <w:b/>
          <w:bCs/>
          <w:caps/>
          <w:color w:val="000000"/>
          <w:kern w:val="0"/>
          <w:sz w:val="24"/>
          <w:szCs w:val="24"/>
          <w:u w:val="single"/>
          <w:lang w:val="en-US" w:eastAsia="zh-CN" w:bidi="ar"/>
        </w:rPr>
        <w:t>Appendix G: Chronological Table of Motions and Dispositions</w:t>
      </w:r>
      <w:bookmarkEnd w:id="16"/>
      <w:bookmarkEnd w:id="17"/>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4"/>
        <w:gridCol w:w="3949"/>
        <w:gridCol w:w="1849"/>
        <w:gridCol w:w="1414"/>
      </w:tblGrid>
      <w:tr w14:paraId="6077D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0B3C3FC0">
            <w:pPr>
              <w:keepNext w:val="0"/>
              <w:keepLines w:val="0"/>
              <w:widowControl/>
              <w:suppressLineNumbers w:val="0"/>
              <w:spacing w:line="18" w:lineRule="atLeast"/>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Date</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626CC2B0">
            <w:pPr>
              <w:keepNext w:val="0"/>
              <w:keepLines w:val="0"/>
              <w:widowControl/>
              <w:suppressLineNumbers w:val="0"/>
              <w:spacing w:line="18" w:lineRule="atLeast"/>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Motion Filed by Bennett</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5C7B0E40">
            <w:pPr>
              <w:keepNext w:val="0"/>
              <w:keepLines w:val="0"/>
              <w:widowControl/>
              <w:suppressLineNumbers w:val="0"/>
              <w:spacing w:line="18" w:lineRule="atLeast"/>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Disposition</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200" w:type="dxa"/>
              <w:left w:w="200" w:type="dxa"/>
              <w:bottom w:w="200" w:type="dxa"/>
              <w:right w:w="200" w:type="dxa"/>
            </w:tcMar>
            <w:vAlign w:val="top"/>
          </w:tcPr>
          <w:p w14:paraId="5DC0244E">
            <w:pPr>
              <w:keepNext w:val="0"/>
              <w:keepLines w:val="0"/>
              <w:widowControl/>
              <w:suppressLineNumbers w:val="0"/>
              <w:spacing w:line="18" w:lineRule="atLeast"/>
              <w:jc w:val="center"/>
              <w:textAlignment w:val="top"/>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Findings?</w:t>
            </w:r>
          </w:p>
        </w:tc>
      </w:tr>
      <w:tr w14:paraId="56276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9B9DAFD">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05/06/2024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C291894">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Motion to Compel Discovery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10FB9EBB">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Ignored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549A0F65">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w:t>
            </w:r>
          </w:p>
        </w:tc>
      </w:tr>
      <w:tr w14:paraId="79079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796AF3C">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05/22/2024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2315C96E">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Motion to Strike False Statements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57777F5B">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Denied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6B0A9403">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w:t>
            </w:r>
          </w:p>
        </w:tc>
      </w:tr>
      <w:tr w14:paraId="28D7B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03FA6DE9">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05/22/2024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7595784C">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Motion for Sanctions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7E9A1D4F">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Denied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54321E3D">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w:t>
            </w:r>
          </w:p>
        </w:tc>
      </w:tr>
      <w:tr w14:paraId="75C52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6A65D748">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07/03/2024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503C93AD">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Opposition to Mtn for Summary Judgment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02E3437D">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Denied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44793FC">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w:t>
            </w:r>
          </w:p>
        </w:tc>
      </w:tr>
      <w:tr w14:paraId="725DB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58FB9D65">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11/24/2025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22262A5E">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Motion to Supplement Record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73FAB721">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Granted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463D0AEA">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w:t>
            </w:r>
          </w:p>
        </w:tc>
      </w:tr>
      <w:tr w14:paraId="1FB89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7A58E841">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12/01/2025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4E5922CA">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Court Order: Manning "shall" respond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0EB0D2CC">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Manning Silent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1632DEF8">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N/A</w:t>
            </w:r>
          </w:p>
        </w:tc>
      </w:tr>
      <w:tr w14:paraId="7AE6F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945B247">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02/18/2026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72531D8">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Motion for Reconsideration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3D447C3B">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Style w:val="16"/>
                <w:rFonts w:hint="default" w:ascii="Times New Roman" w:hAnsi="Times New Roman" w:eastAsia="SimSun" w:cs="Times New Roman"/>
                <w:color w:val="000000"/>
                <w:kern w:val="0"/>
                <w:sz w:val="24"/>
                <w:szCs w:val="24"/>
                <w:lang w:val="en-US" w:eastAsia="zh-CN" w:bidi="ar"/>
              </w:rPr>
              <w:t>Denied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00" w:type="dxa"/>
              <w:left w:w="200" w:type="dxa"/>
              <w:bottom w:w="200" w:type="dxa"/>
              <w:right w:w="200" w:type="dxa"/>
            </w:tcMar>
            <w:vAlign w:val="top"/>
          </w:tcPr>
          <w:p w14:paraId="4A000517">
            <w:pPr>
              <w:keepNext w:val="0"/>
              <w:keepLines w:val="0"/>
              <w:widowControl/>
              <w:suppressLineNumbers w:val="0"/>
              <w:spacing w:line="18" w:lineRule="atLeast"/>
              <w:jc w:val="left"/>
              <w:textAlignment w:val="top"/>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w:t>
            </w:r>
          </w:p>
        </w:tc>
      </w:tr>
    </w:tbl>
    <w:p w14:paraId="13340F08">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bookmarkStart w:id="18" w:name="_Toc30343"/>
      <w:bookmarkStart w:id="19" w:name="_Toc24975"/>
      <w:r>
        <w:rPr>
          <w:rFonts w:ascii="DejaVu Sans" w:hAnsi="DejaVu Sans" w:eastAsia="SimSun" w:cs="DejaVu Sans"/>
          <w:b/>
          <w:bCs/>
          <w:caps/>
          <w:color w:val="000000"/>
          <w:kern w:val="0"/>
          <w:sz w:val="24"/>
          <w:szCs w:val="24"/>
          <w:u w:val="single"/>
          <w:lang w:val="en-US" w:eastAsia="zh-CN" w:bidi="ar"/>
        </w:rPr>
        <w:t>Appendix H: Opinion, Bennett v. Manning, No. 84951-4-I (Apr. 17, 2023)</w:t>
      </w:r>
      <w:bookmarkEnd w:id="18"/>
      <w:bookmarkEnd w:id="19"/>
    </w:p>
    <w:p w14:paraId="7607DBA1">
      <w:pPr>
        <w:pStyle w:val="15"/>
        <w:keepNext w:val="0"/>
        <w:keepLines w:val="0"/>
        <w:widowControl/>
        <w:suppressLineNumbers w:val="0"/>
        <w:spacing w:line="30" w:lineRule="atLeast"/>
      </w:pPr>
      <w:r>
        <w:rPr>
          <w:rFonts w:hint="default" w:ascii="Times New Roman" w:hAnsi="Times New Roman" w:cs="Times New Roman"/>
          <w:color w:val="000000"/>
          <w:sz w:val="24"/>
          <w:szCs w:val="24"/>
        </w:rPr>
        <w:t xml:space="preserve">In this </w:t>
      </w:r>
      <w:r>
        <w:rPr>
          <w:rFonts w:hint="default" w:ascii="Times New Roman" w:hAnsi="Times New Roman" w:cs="Times New Roman"/>
          <w:color w:val="000000"/>
          <w:sz w:val="24"/>
          <w:szCs w:val="24"/>
          <w:lang w:val="en-US"/>
        </w:rPr>
        <w:t>un</w:t>
      </w:r>
      <w:r>
        <w:rPr>
          <w:rFonts w:hint="default" w:ascii="Times New Roman" w:hAnsi="Times New Roman" w:cs="Times New Roman"/>
          <w:color w:val="000000"/>
          <w:sz w:val="24"/>
          <w:szCs w:val="24"/>
        </w:rPr>
        <w:t>published decision, the Court of Appeals held that the trial court erred by failing to enter indigency findings under RAP 15.2(c) and by exceeding its authority in denying public funding. The trial court's failure to comply with the subsequent mandate created the "incomplete record" for which Petitioner was later penalized.</w:t>
      </w:r>
    </w:p>
    <w:p w14:paraId="049561D0">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bookmarkStart w:id="20" w:name="_Toc23281"/>
      <w:bookmarkStart w:id="21" w:name="_Toc21644"/>
      <w:r>
        <w:rPr>
          <w:rFonts w:ascii="DejaVu Sans" w:hAnsi="DejaVu Sans" w:eastAsia="SimSun" w:cs="DejaVu Sans"/>
          <w:b/>
          <w:bCs/>
          <w:caps/>
          <w:color w:val="000000"/>
          <w:kern w:val="0"/>
          <w:sz w:val="24"/>
          <w:szCs w:val="24"/>
          <w:u w:val="single"/>
          <w:lang w:val="en-US" w:eastAsia="zh-CN" w:bidi="ar"/>
        </w:rPr>
        <w:t>Appendix I: Exhibit A (Admitted 12/8/2025) Contact Summary</w:t>
      </w:r>
      <w:bookmarkEnd w:id="20"/>
      <w:bookmarkEnd w:id="21"/>
    </w:p>
    <w:p w14:paraId="76D1563E">
      <w:pPr>
        <w:pStyle w:val="15"/>
        <w:keepNext w:val="0"/>
        <w:keepLines w:val="0"/>
        <w:widowControl/>
        <w:suppressLineNumbers w:val="0"/>
        <w:spacing w:line="30" w:lineRule="atLeast"/>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Exhibit A documents a continuous history of contact attempts and interactions from 2008 through 2019, including:</w:t>
      </w:r>
    </w:p>
    <w:p w14:paraId="5F8191B2">
      <w:pPr>
        <w:keepNext w:val="0"/>
        <w:keepLines w:val="0"/>
        <w:widowControl/>
        <w:numPr>
          <w:ilvl w:val="0"/>
          <w:numId w:val="1"/>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eastAsia="SimSun" w:cs="Times New Roman"/>
          <w:color w:val="000000"/>
          <w:kern w:val="0"/>
          <w:sz w:val="24"/>
          <w:szCs w:val="24"/>
          <w:lang w:val="en-US" w:eastAsia="zh-CN" w:bidi="ar"/>
        </w:rPr>
        <w:t xml:space="preserve">2008-2010: </w:t>
      </w:r>
      <w:r>
        <w:rPr>
          <w:rStyle w:val="16"/>
          <w:rFonts w:hint="default" w:ascii="Times New Roman" w:hAnsi="Times New Roman" w:eastAsia="SimSun" w:cs="Times New Roman"/>
          <w:b w:val="0"/>
          <w:bCs w:val="0"/>
          <w:color w:val="000000"/>
          <w:kern w:val="0"/>
          <w:sz w:val="24"/>
          <w:szCs w:val="24"/>
          <w:lang w:val="en-US" w:eastAsia="zh-CN" w:bidi="ar"/>
        </w:rPr>
        <w:t>Phone calls and letters acknowledged by Manning.</w:t>
      </w:r>
    </w:p>
    <w:p w14:paraId="55210252">
      <w:pPr>
        <w:keepNext w:val="0"/>
        <w:keepLines w:val="0"/>
        <w:widowControl/>
        <w:numPr>
          <w:ilvl w:val="0"/>
          <w:numId w:val="1"/>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2010–2011:</w:t>
      </w:r>
      <w:r>
        <w:rPr>
          <w:rFonts w:hint="default" w:ascii="Times New Roman" w:hAnsi="Times New Roman" w:cs="Times New Roman" w:eastAsiaTheme="minorEastAsia"/>
          <w:color w:val="000000"/>
          <w:kern w:val="0"/>
          <w:sz w:val="24"/>
          <w:szCs w:val="24"/>
          <w:lang w:val="en-US" w:eastAsia="zh-CN" w:bidi="ar"/>
        </w:rPr>
        <w:t xml:space="preserve"> Scheduled phone calls arranged by Manning.</w:t>
      </w:r>
    </w:p>
    <w:p w14:paraId="163B837B">
      <w:pPr>
        <w:keepNext w:val="0"/>
        <w:keepLines w:val="0"/>
        <w:widowControl/>
        <w:numPr>
          <w:ilvl w:val="0"/>
          <w:numId w:val="1"/>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2011:</w:t>
      </w:r>
      <w:r>
        <w:rPr>
          <w:rFonts w:hint="default" w:ascii="Times New Roman" w:hAnsi="Times New Roman" w:cs="Times New Roman" w:eastAsiaTheme="minorEastAsia"/>
          <w:color w:val="000000"/>
          <w:kern w:val="0"/>
          <w:sz w:val="24"/>
          <w:szCs w:val="24"/>
          <w:lang w:val="en-US" w:eastAsia="zh-CN" w:bidi="ar"/>
        </w:rPr>
        <w:t xml:space="preserve"> </w:t>
      </w:r>
      <w:r>
        <w:rPr>
          <w:rFonts w:hint="default" w:ascii="Times New Roman" w:hAnsi="Times New Roman" w:eastAsiaTheme="minorEastAsia" w:cstheme="minorBidi"/>
          <w:color w:val="000000"/>
          <w:kern w:val="0"/>
          <w:sz w:val="24"/>
          <w:szCs w:val="24"/>
          <w:lang w:val="en-US" w:eastAsia="zh-CN" w:bidi="ar"/>
        </w:rPr>
        <w:t>In-person</w:t>
      </w:r>
      <w:r>
        <w:rPr>
          <w:rFonts w:hint="default" w:ascii="Times New Roman" w:hAnsi="Times New Roman" w:cs="Times New Roman" w:eastAsiaTheme="minorEastAsia"/>
          <w:color w:val="000000"/>
          <w:kern w:val="0"/>
          <w:sz w:val="24"/>
          <w:szCs w:val="24"/>
          <w:lang w:val="en-US" w:eastAsia="zh-CN" w:bidi="ar"/>
        </w:rPr>
        <w:t xml:space="preserve"> visit at the Manning residence, video recorded by Manning.</w:t>
      </w:r>
    </w:p>
    <w:p w14:paraId="71D07E51">
      <w:pPr>
        <w:keepNext w:val="0"/>
        <w:keepLines w:val="0"/>
        <w:widowControl/>
        <w:numPr>
          <w:ilvl w:val="0"/>
          <w:numId w:val="1"/>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2012:</w:t>
      </w:r>
      <w:r>
        <w:rPr>
          <w:rFonts w:hint="default" w:ascii="Times New Roman" w:hAnsi="Times New Roman" w:cs="Times New Roman" w:eastAsiaTheme="minorEastAsia"/>
          <w:color w:val="000000"/>
          <w:kern w:val="0"/>
          <w:sz w:val="24"/>
          <w:szCs w:val="24"/>
          <w:lang w:val="en-US" w:eastAsia="zh-CN" w:bidi="ar"/>
        </w:rPr>
        <w:t xml:space="preserve"> Phone calls visit and medical coordination.</w:t>
      </w:r>
    </w:p>
    <w:p w14:paraId="28A65A93">
      <w:pPr>
        <w:keepNext w:val="0"/>
        <w:keepLines w:val="0"/>
        <w:widowControl/>
        <w:numPr>
          <w:ilvl w:val="0"/>
          <w:numId w:val="1"/>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2012–2015:</w:t>
      </w:r>
      <w:r>
        <w:rPr>
          <w:rFonts w:hint="default" w:ascii="Times New Roman" w:hAnsi="Times New Roman" w:cs="Times New Roman" w:eastAsiaTheme="minorEastAsia"/>
          <w:color w:val="000000"/>
          <w:kern w:val="0"/>
          <w:sz w:val="24"/>
          <w:szCs w:val="24"/>
          <w:lang w:val="en-US" w:eastAsia="zh-CN" w:bidi="ar"/>
        </w:rPr>
        <w:t xml:space="preserve"> "Read-to-Me-Daddy" recordings and holiday gifts acknowledged by Manning.</w:t>
      </w:r>
    </w:p>
    <w:p w14:paraId="6D0C25AE">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bookmarkStart w:id="22" w:name="_Toc4160"/>
      <w:bookmarkStart w:id="23" w:name="_Toc24522"/>
      <w:r>
        <w:rPr>
          <w:rFonts w:hint="default" w:ascii="Times New Roman" w:hAnsi="Times New Roman" w:eastAsiaTheme="minorEastAsia" w:cstheme="minorBidi"/>
          <w:color w:val="000000"/>
          <w:kern w:val="0"/>
          <w:sz w:val="24"/>
          <w:szCs w:val="24"/>
          <w:lang w:val="en-US" w:eastAsia="zh-CN" w:bidi="ar"/>
        </w:rPr>
        <w:t>In Exhibit A (specifically the Facebook logs), there are approximately 114 distinct times where Bennett or Manning discuss "[TB]," "son," "visits," "calls," or "seeing" him.</w:t>
      </w:r>
    </w:p>
    <w:p w14:paraId="04971B6D">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p>
    <w:p w14:paraId="20C4DD3C">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w:t>
      </w:r>
      <w:r>
        <w:rPr>
          <w:rFonts w:hint="default" w:ascii="Times New Roman" w:hAnsi="Times New Roman" w:eastAsiaTheme="minorEastAsia" w:cstheme="minorBidi"/>
          <w:b/>
          <w:bCs/>
          <w:color w:val="000000"/>
          <w:kern w:val="0"/>
          <w:sz w:val="24"/>
          <w:szCs w:val="24"/>
          <w:lang w:val="en-US" w:eastAsia="zh-CN" w:bidi="ar"/>
        </w:rPr>
        <w:t>This count spans from 2010 through 2019 and includes</w:t>
      </w:r>
      <w:r>
        <w:rPr>
          <w:rFonts w:hint="default" w:ascii="Times New Roman" w:hAnsi="Times New Roman" w:eastAsiaTheme="minorEastAsia" w:cstheme="minorBidi"/>
          <w:color w:val="000000"/>
          <w:kern w:val="0"/>
          <w:sz w:val="24"/>
          <w:szCs w:val="24"/>
          <w:lang w:val="en-US" w:eastAsia="zh-CN" w:bidi="ar"/>
        </w:rPr>
        <w:t>:</w:t>
      </w:r>
    </w:p>
    <w:p w14:paraId="08739F4C">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Direct Demands: Bennett explicitly asking to see Tim or have phone calls.</w:t>
      </w:r>
    </w:p>
    <w:p w14:paraId="066EE7F9">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Status Updates: Manning giving Bennett updates on Tim's health, therapy (Reactive Attachment Disorder), or school.</w:t>
      </w:r>
    </w:p>
    <w:p w14:paraId="550C15A0">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Coordinated Visits: Arrangements for Bennett to come to the house (e.g., the May 2016 visit while Tim was playing WOW).</w:t>
      </w:r>
    </w:p>
    <w:p w14:paraId="4052A564">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Gift/Call Acknowledgments: Manning acknowledging receipt of gifts or letters for Tim.</w:t>
      </w:r>
    </w:p>
    <w:p w14:paraId="37E38C30">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w:t>
      </w:r>
    </w:p>
    <w:p w14:paraId="1860D84D">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b/>
          <w:bCs/>
          <w:color w:val="000000"/>
          <w:kern w:val="0"/>
          <w:sz w:val="24"/>
          <w:szCs w:val="24"/>
          <w:lang w:val="en-US" w:eastAsia="zh-CN" w:bidi="ar"/>
        </w:rPr>
      </w:pPr>
      <w:r>
        <w:rPr>
          <w:rFonts w:hint="default" w:ascii="Times New Roman" w:hAnsi="Times New Roman" w:eastAsiaTheme="minorEastAsia" w:cstheme="minorBidi"/>
          <w:b/>
          <w:bCs/>
          <w:color w:val="000000"/>
          <w:kern w:val="0"/>
          <w:sz w:val="24"/>
          <w:szCs w:val="24"/>
          <w:lang w:val="en-US" w:eastAsia="zh-CN" w:bidi="ar"/>
        </w:rPr>
        <w:t xml:space="preserve"> </w:t>
      </w:r>
      <w:r>
        <w:rPr>
          <w:rStyle w:val="24"/>
          <w:rFonts w:hint="default" w:eastAsiaTheme="minorEastAsia"/>
          <w:b/>
          <w:bCs/>
          <w:color w:val="000000"/>
          <w:kern w:val="0"/>
          <w:lang w:val="en-US" w:eastAsia="zh-CN" w:bidi="ar"/>
        </w:rPr>
        <w:t>Breakdown of the 114 Mentions:</w:t>
      </w:r>
    </w:p>
    <w:p w14:paraId="4B214C58">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2010–2011: ~45 instances (High frequency of scheduled calls and transition from Colorado to Washington).</w:t>
      </w:r>
    </w:p>
    <w:p w14:paraId="696C1603">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2012–2014: ~20 instances (Focus on Bennett's legal papers and Manning's "promises" regarding reunification).</w:t>
      </w:r>
    </w:p>
    <w:p w14:paraId="41F4F0F8">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 2015–2019: ~49 instances (Intense conflict over the 2013 papers, sibling contact requests for Bennett's other children, and the physical visits in 2016 and 2019).</w:t>
      </w:r>
    </w:p>
    <w:p w14:paraId="483B454B">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p>
    <w:p w14:paraId="7FA4CBE6">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p>
    <w:p w14:paraId="01D518FC">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w:t>
      </w:r>
      <w:r>
        <w:rPr>
          <w:rStyle w:val="24"/>
          <w:rFonts w:hint="default" w:eastAsiaTheme="minorEastAsia"/>
          <w:b/>
          <w:bCs/>
          <w:color w:val="000000"/>
          <w:kern w:val="0"/>
          <w:lang w:val="en-US" w:eastAsia="zh-CN" w:bidi="ar"/>
        </w:rPr>
        <w:t>Crucial Finding for the Court</w:t>
      </w:r>
    </w:p>
    <w:p w14:paraId="1D1CBD1C">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The total of 114 instances makes the Court of Appeals' finding of "no contact" or "no attempt to contact" for 11 years</w:t>
      </w:r>
    </w:p>
    <w:p w14:paraId="282A8846">
      <w:pPr>
        <w:keepNext w:val="0"/>
        <w:keepLines w:val="0"/>
        <w:widowControl/>
        <w:suppressLineNumbers w:val="0"/>
        <w:spacing w:before="0" w:beforeAutospacing="1" w:after="0" w:afterAutospacing="1" w:line="30" w:lineRule="atLeast"/>
        <w:ind w:left="0" w:right="0"/>
        <w:jc w:val="left"/>
        <w:rPr>
          <w:rFonts w:hint="default" w:ascii="Times New Roman" w:hAnsi="Times New Roman" w:eastAsiaTheme="minorEastAsia" w:cstheme="minorBidi"/>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(roughly 4,000 days) a mathematical and documentary impossibility. On average, there is a documented discussion or</w:t>
      </w:r>
    </w:p>
    <w:p w14:paraId="65FA5D14">
      <w:pPr>
        <w:keepNext w:val="0"/>
        <w:keepLines w:val="0"/>
        <w:widowControl/>
        <w:suppressLineNumbers w:val="0"/>
        <w:spacing w:before="0" w:beforeAutospacing="1" w:after="0" w:afterAutospacing="1" w:line="30" w:lineRule="atLeast"/>
        <w:ind w:left="0" w:right="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eastAsiaTheme="minorEastAsia" w:cstheme="minorBidi"/>
          <w:color w:val="000000"/>
          <w:kern w:val="0"/>
          <w:sz w:val="24"/>
          <w:szCs w:val="24"/>
          <w:lang w:val="en-US" w:eastAsia="zh-CN" w:bidi="ar"/>
        </w:rPr>
        <w:t xml:space="preserve">  attempt at contact regarding Tim at least once every 35 days throughout the entire decade.</w:t>
      </w:r>
    </w:p>
    <w:p w14:paraId="695C2F38">
      <w:pPr>
        <w:keepNext w:val="0"/>
        <w:keepLines w:val="0"/>
        <w:widowControl/>
        <w:suppressLineNumbers w:val="0"/>
        <w:spacing w:before="0" w:beforeAutospacing="1" w:after="0" w:afterAutospacing="1" w:line="30" w:lineRule="atLeast"/>
        <w:ind w:left="0" w:right="0"/>
        <w:jc w:val="left"/>
        <w:rPr>
          <w:rFonts w:hint="default" w:ascii="Times New Roman" w:hAnsi="Times New Roman" w:cs="Times New Roman" w:eastAsiaTheme="minorEastAsia"/>
          <w:color w:val="000000"/>
          <w:kern w:val="0"/>
          <w:sz w:val="24"/>
          <w:szCs w:val="24"/>
          <w:lang w:val="en-US" w:eastAsia="zh-CN" w:bidi="ar"/>
        </w:rPr>
      </w:pPr>
    </w:p>
    <w:p w14:paraId="0794250D">
      <w:pPr>
        <w:keepNext w:val="0"/>
        <w:keepLines w:val="0"/>
        <w:widowControl/>
        <w:suppressLineNumbers w:val="0"/>
        <w:spacing w:before="0" w:beforeAutospacing="1" w:after="0" w:afterAutospacing="1" w:line="30" w:lineRule="atLeast"/>
        <w:ind w:left="0" w:right="0"/>
        <w:jc w:val="left"/>
        <w:rPr>
          <w:rFonts w:asciiTheme="minorHAnsi" w:hAnsiTheme="minorHAnsi" w:eastAsiaTheme="minorEastAsia" w:cstheme="minorBidi"/>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These records were admitted into the appellate record but ignored in the final Opinion.</w:t>
      </w:r>
    </w:p>
    <w:p w14:paraId="3F665A63">
      <w:pPr>
        <w:keepNext w:val="0"/>
        <w:keepLines w:val="0"/>
        <w:widowControl/>
        <w:suppressLineNumbers w:val="0"/>
        <w:spacing w:line="30" w:lineRule="atLeast"/>
        <w:outlineLvl w:val="1"/>
        <w:rPr>
          <w:color w:val="000000"/>
        </w:rPr>
        <w:sectPr>
          <w:pgSz w:w="11906" w:h="16839"/>
          <w:pgMar w:top="1440" w:right="1800" w:bottom="1440" w:left="1800" w:header="851" w:footer="992" w:gutter="0"/>
          <w:pgNumType w:fmt="upperLetter"/>
          <w:cols w:space="0" w:num="1"/>
        </w:sectPr>
      </w:pPr>
    </w:p>
    <w:p w14:paraId="0EC6A35B">
      <w:pPr>
        <w:keepNext w:val="0"/>
        <w:keepLines w:val="0"/>
        <w:widowControl/>
        <w:suppressLineNumbers w:val="0"/>
        <w:spacing w:beforeAutospacing="1" w:after="200" w:line="30" w:lineRule="atLeast"/>
        <w:jc w:val="center"/>
        <w:outlineLvl w:val="1"/>
        <w:rPr>
          <w:rFonts w:ascii="DejaVu Sans" w:hAnsi="DejaVu Sans" w:eastAsia="SimSun" w:cs="DejaVu Sans"/>
          <w:b/>
          <w:bCs/>
          <w:caps/>
          <w:color w:val="000000"/>
          <w:kern w:val="0"/>
          <w:sz w:val="24"/>
          <w:szCs w:val="24"/>
          <w:u w:val="single"/>
          <w:lang w:val="en-US" w:eastAsia="zh-CN" w:bidi="ar"/>
        </w:rPr>
      </w:pPr>
      <w:r>
        <w:rPr>
          <w:rFonts w:ascii="DejaVu Sans" w:hAnsi="DejaVu Sans" w:eastAsia="SimSun" w:cs="DejaVu Sans"/>
          <w:b/>
          <w:bCs/>
          <w:caps/>
          <w:color w:val="000000"/>
          <w:kern w:val="0"/>
          <w:sz w:val="24"/>
          <w:szCs w:val="24"/>
          <w:u w:val="single"/>
          <w:lang w:val="en-US" w:eastAsia="zh-CN" w:bidi="ar"/>
        </w:rPr>
        <w:t>Appendix J: Declaration of Zackariah Jeremiah Bennett</w:t>
      </w:r>
      <w:bookmarkEnd w:id="22"/>
      <w:bookmarkEnd w:id="23"/>
    </w:p>
    <w:p w14:paraId="087E62E6">
      <w:pPr>
        <w:pStyle w:val="15"/>
        <w:keepNext w:val="0"/>
        <w:keepLines w:val="0"/>
        <w:widowControl/>
        <w:suppressLineNumbers w:val="0"/>
        <w:spacing w:line="30" w:lineRule="atLeast"/>
      </w:pPr>
      <w:r>
        <w:rPr>
          <w:rFonts w:hint="default" w:ascii="Times New Roman" w:hAnsi="Times New Roman" w:cs="Times New Roman"/>
          <w:color w:val="000000"/>
          <w:sz w:val="24"/>
          <w:szCs w:val="24"/>
        </w:rPr>
        <w:t>I, Zackariah Jeremiah Bennett, declare as follows:</w:t>
      </w:r>
    </w:p>
    <w:p w14:paraId="3EF45DC1">
      <w:pPr>
        <w:keepNext w:val="0"/>
        <w:keepLines w:val="0"/>
        <w:widowControl/>
        <w:numPr>
          <w:ilvl w:val="0"/>
          <w:numId w:val="2"/>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Fonts w:hint="default" w:ascii="Times New Roman" w:hAnsi="Times New Roman" w:cs="Times New Roman" w:eastAsiaTheme="minorEastAsia"/>
          <w:color w:val="000000"/>
          <w:kern w:val="0"/>
          <w:sz w:val="24"/>
          <w:szCs w:val="24"/>
          <w:lang w:val="en-US" w:eastAsia="zh-CN" w:bidi="ar"/>
        </w:rPr>
        <w:t>I am the Petitioner in this matter. I am over the age of 18 and competent to testify to the matters herein.</w:t>
      </w:r>
    </w:p>
    <w:p w14:paraId="4898FB08">
      <w:pPr>
        <w:keepNext w:val="0"/>
        <w:keepLines w:val="0"/>
        <w:widowControl/>
        <w:numPr>
          <w:ilvl w:val="0"/>
          <w:numId w:val="2"/>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Fonts w:hint="default" w:ascii="Times New Roman" w:hAnsi="Times New Roman" w:cs="Times New Roman" w:eastAsiaTheme="minorEastAsia"/>
          <w:color w:val="000000"/>
          <w:kern w:val="0"/>
          <w:sz w:val="24"/>
          <w:szCs w:val="24"/>
          <w:lang w:val="en-US" w:eastAsia="zh-CN" w:bidi="ar"/>
        </w:rPr>
        <w:t>I have personal knowledge of the facts set forth in the Petition for Review and the Appendices attached hereto.</w:t>
      </w:r>
    </w:p>
    <w:p w14:paraId="23350DA9">
      <w:pPr>
        <w:keepNext w:val="0"/>
        <w:keepLines w:val="0"/>
        <w:widowControl/>
        <w:numPr>
          <w:ilvl w:val="0"/>
          <w:numId w:val="2"/>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Demonstrative Exhibits:</w:t>
      </w:r>
      <w:r>
        <w:rPr>
          <w:rFonts w:hint="default" w:ascii="Times New Roman" w:hAnsi="Times New Roman" w:cs="Times New Roman" w:eastAsiaTheme="minorEastAsia"/>
          <w:color w:val="000000"/>
          <w:kern w:val="0"/>
          <w:sz w:val="24"/>
          <w:szCs w:val="24"/>
          <w:lang w:val="en-US" w:eastAsia="zh-CN" w:bidi="ar"/>
        </w:rPr>
        <w:t xml:space="preserve"> I have prepared the side-by-side comparisons and tables in Appendices C, D, E, F, and G. I declare that the text quoted in these tables is a verbatim and accurate reflection of the underlying sworn declarations, court orders, and correspondence filed in Case Nos. 08-3-03956-4, 22-2-09380-3, and 23-2-11352-7.</w:t>
      </w:r>
    </w:p>
    <w:p w14:paraId="3DC88D39">
      <w:pPr>
        <w:keepNext w:val="0"/>
        <w:keepLines w:val="0"/>
        <w:widowControl/>
        <w:numPr>
          <w:ilvl w:val="0"/>
          <w:numId w:val="2"/>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Transcription Accuracy:</w:t>
      </w:r>
      <w:r>
        <w:rPr>
          <w:rFonts w:hint="default" w:ascii="Times New Roman" w:hAnsi="Times New Roman" w:cs="Times New Roman" w:eastAsiaTheme="minorEastAsia"/>
          <w:color w:val="000000"/>
          <w:kern w:val="0"/>
          <w:sz w:val="24"/>
          <w:szCs w:val="24"/>
          <w:lang w:val="en-US" w:eastAsia="zh-CN" w:bidi="ar"/>
        </w:rPr>
        <w:t xml:space="preserve"> The excerpts from court hearings (Exhibit B) included in Appendix E are verbatim transcriptions of the official FTR (For The Record) audio recordings provided by the King County Superior Court. I declare under penalty of perjury that these transcriptions are true and correct to the best of my ability.</w:t>
      </w:r>
    </w:p>
    <w:p w14:paraId="1B88D7AC">
      <w:pPr>
        <w:keepNext w:val="0"/>
        <w:keepLines w:val="0"/>
        <w:widowControl/>
        <w:numPr>
          <w:ilvl w:val="0"/>
          <w:numId w:val="2"/>
        </w:numPr>
        <w:suppressLineNumbers w:val="0"/>
        <w:spacing w:before="0" w:beforeAutospacing="1" w:after="0" w:afterAutospacing="1" w:line="30" w:lineRule="atLeast"/>
        <w:ind w:left="720" w:hanging="360"/>
        <w:jc w:val="left"/>
        <w:rPr>
          <w:rFonts w:asciiTheme="minorHAnsi" w:hAnsiTheme="minorHAnsi" w:eastAsiaTheme="minorEastAsia" w:cstheme="minorBidi"/>
          <w:kern w:val="0"/>
          <w:lang w:val="en-US" w:eastAsia="zh-CN" w:bidi="ar"/>
        </w:rPr>
      </w:pPr>
      <w:r>
        <w:rPr>
          <w:rStyle w:val="16"/>
          <w:rFonts w:hint="default" w:ascii="Times New Roman" w:hAnsi="Times New Roman" w:cs="Times New Roman" w:eastAsiaTheme="minorEastAsia"/>
          <w:color w:val="000000"/>
          <w:kern w:val="0"/>
          <w:sz w:val="24"/>
          <w:szCs w:val="24"/>
          <w:lang w:val="en-US" w:eastAsia="zh-CN" w:bidi="ar"/>
        </w:rPr>
        <w:t>Exhibit A:</w:t>
      </w:r>
      <w:r>
        <w:rPr>
          <w:rFonts w:hint="default" w:ascii="Times New Roman" w:hAnsi="Times New Roman" w:cs="Times New Roman" w:eastAsiaTheme="minorEastAsia"/>
          <w:color w:val="000000"/>
          <w:kern w:val="0"/>
          <w:sz w:val="24"/>
          <w:szCs w:val="24"/>
          <w:lang w:val="en-US" w:eastAsia="zh-CN" w:bidi="ar"/>
        </w:rPr>
        <w:t xml:space="preserve"> I have reviewed the contents of Exhibit A (admitted by the Court of Appeals on December 8, 2025; on record June 21, 2024 in opposition of summary judgement). The summary provided in Appendix I is an accurate distillation of the phone logs, video evidence, and correspondence documented in that exhibit, which prove contact and attempted contact between 2008 and 2019.</w:t>
      </w:r>
    </w:p>
    <w:p w14:paraId="2C5EA798">
      <w:pPr>
        <w:pStyle w:val="15"/>
        <w:keepNext w:val="0"/>
        <w:keepLines w:val="0"/>
        <w:widowControl/>
        <w:suppressLineNumbers w:val="0"/>
        <w:spacing w:line="30" w:lineRule="atLeast"/>
      </w:pPr>
      <w:r>
        <w:rPr>
          <w:rFonts w:hint="default" w:ascii="Times New Roman" w:hAnsi="Times New Roman" w:cs="Times New Roman"/>
          <w:color w:val="000000"/>
          <w:sz w:val="24"/>
          <w:szCs w:val="24"/>
        </w:rPr>
        <w:t>I certify under penalty of perjury under the laws of the State of Washington that the foregoing is true and correct.</w:t>
      </w:r>
    </w:p>
    <w:p w14:paraId="5561B2C7">
      <w:pPr>
        <w:pStyle w:val="15"/>
        <w:keepNext w:val="0"/>
        <w:keepLines w:val="0"/>
        <w:widowControl/>
        <w:suppressLineNumbers w:val="0"/>
        <w:spacing w:line="30" w:lineRule="atLeast"/>
      </w:pPr>
      <w:r>
        <w:rPr>
          <w:rFonts w:hint="default" w:ascii="Times New Roman" w:hAnsi="Times New Roman" w:cs="Times New Roman"/>
          <w:color w:val="000000"/>
          <w:sz w:val="24"/>
          <w:szCs w:val="24"/>
        </w:rPr>
        <w:t>DATED this ______ day of March, 2026, at ______________________, Washington.</w:t>
      </w:r>
    </w:p>
    <w:p w14:paraId="6F80E5D4">
      <w:pPr>
        <w:keepNext w:val="0"/>
        <w:keepLines w:val="0"/>
        <w:widowControl/>
        <w:suppressLineNumbers w:val="0"/>
        <w:jc w:val="left"/>
        <w:rPr>
          <w:rFonts w:asciiTheme="minorHAnsi" w:hAnsiTheme="minorHAnsi" w:eastAsiaTheme="minorEastAsia" w:cstheme="minorBidi"/>
          <w:kern w:val="0"/>
          <w:lang w:val="en-US" w:eastAsia="zh-CN" w:bidi="ar"/>
        </w:rPr>
      </w:pPr>
    </w:p>
    <w:p w14:paraId="3BB6F97B">
      <w:pPr>
        <w:pStyle w:val="15"/>
        <w:keepNext w:val="0"/>
        <w:keepLines w:val="0"/>
        <w:widowControl/>
        <w:suppressLineNumbers w:val="0"/>
        <w:spacing w:line="30" w:lineRule="atLeast"/>
      </w:pPr>
      <w:r>
        <w:rPr>
          <w:rFonts w:hint="default" w:ascii="Times New Roman" w:hAnsi="Times New Roman" w:cs="Times New Roman"/>
          <w:color w:val="000000"/>
          <w:sz w:val="24"/>
          <w:szCs w:val="24"/>
        </w:rPr>
        <w:t>__________________________________________</w:t>
      </w:r>
      <w:r>
        <w:rPr>
          <w:rFonts w:hint="default" w:ascii="Times New Roman" w:hAnsi="Times New Roman" w:cs="Times New Roman"/>
          <w:color w:val="000000"/>
          <w:sz w:val="24"/>
          <w:szCs w:val="24"/>
        </w:rPr>
        <w:br w:type="textWrapping"/>
      </w:r>
      <w:r>
        <w:rPr>
          <w:rFonts w:hint="default" w:ascii="Times New Roman" w:hAnsi="Times New Roman" w:cs="Times New Roman"/>
          <w:color w:val="000000"/>
          <w:sz w:val="24"/>
          <w:szCs w:val="24"/>
        </w:rPr>
        <w:t>Zackariah Jeremiah Bennett, Petitioner</w:t>
      </w:r>
    </w:p>
    <w:p w14:paraId="10E2F1C6">
      <w:pPr>
        <w:spacing w:before="200" w:after="300" w:line="480" w:lineRule="auto"/>
        <w:jc w:val="center"/>
        <w:rPr>
          <w:rFonts w:ascii="Times New Roman" w:hAnsi="Times New Roman" w:eastAsia="Times New Roman" w:cs="Times New Roman"/>
          <w:b/>
          <w:bCs/>
          <w:caps w:val="0"/>
          <w:sz w:val="26"/>
          <w:szCs w:val="26"/>
        </w:rPr>
        <w:sectPr>
          <w:pgSz w:w="12240" w:h="15840"/>
          <w:pgMar w:top="2160" w:right="1920" w:bottom="2160" w:left="2880" w:header="708" w:footer="706" w:gutter="0"/>
          <w:paperSrc/>
          <w:pgNumType w:fmt="upperLetter"/>
          <w:cols w:space="0" w:num="1"/>
          <w:rtlGutter w:val="0"/>
          <w:docGrid w:linePitch="360" w:charSpace="0"/>
        </w:sectPr>
      </w:pPr>
    </w:p>
    <w:p w14:paraId="728A706F">
      <w:pPr>
        <w:spacing w:before="200" w:after="300" w:line="480" w:lineRule="auto"/>
        <w:jc w:val="center"/>
      </w:pPr>
      <w:r>
        <w:rPr>
          <w:rFonts w:ascii="Times New Roman" w:hAnsi="Times New Roman" w:eastAsia="Times New Roman" w:cs="Times New Roman"/>
          <w:b/>
          <w:bCs/>
          <w:caps w:val="0"/>
          <w:sz w:val="26"/>
          <w:szCs w:val="26"/>
        </w:rPr>
        <w:t>CERTIFICATE OF SERVICE</w:t>
      </w:r>
    </w:p>
    <w:p w14:paraId="799BD4FB">
      <w:pPr>
        <w:spacing w:before="0" w:after="300" w:line="480" w:lineRule="auto"/>
        <w:ind w:firstLine="720"/>
        <w:jc w:val="left"/>
      </w:pPr>
      <w:r>
        <w:rPr>
          <w:rFonts w:ascii="Times New Roman" w:hAnsi="Times New Roman" w:eastAsia="Times New Roman" w:cs="Times New Roman"/>
          <w:b w:val="0"/>
          <w:bCs w:val="0"/>
          <w:sz w:val="24"/>
          <w:szCs w:val="24"/>
        </w:rPr>
        <w:t>I certify that on _________, 2026, I caused a copy of this Petition for Review to be served on all parties of record as follows:</w:t>
      </w:r>
    </w:p>
    <w:p w14:paraId="0750E7CA">
      <w:pPr>
        <w:spacing w:before="0" w:after="40" w:line="480" w:lineRule="auto"/>
        <w:ind w:left="720"/>
        <w:jc w:val="left"/>
      </w:pPr>
      <w:r>
        <w:rPr>
          <w:rFonts w:ascii="Times New Roman" w:hAnsi="Times New Roman" w:eastAsia="Times New Roman" w:cs="Times New Roman"/>
          <w:b w:val="0"/>
          <w:bCs w:val="0"/>
          <w:caps w:val="0"/>
          <w:sz w:val="24"/>
          <w:szCs w:val="24"/>
        </w:rPr>
        <w:t>Nancy A. Gass, WSBA 49685</w:t>
      </w:r>
    </w:p>
    <w:p w14:paraId="707CC8E0">
      <w:pPr>
        <w:spacing w:before="0" w:after="40" w:line="480" w:lineRule="auto"/>
        <w:ind w:left="720"/>
        <w:jc w:val="left"/>
      </w:pPr>
      <w:r>
        <w:rPr>
          <w:rFonts w:ascii="Times New Roman" w:hAnsi="Times New Roman" w:eastAsia="Times New Roman" w:cs="Times New Roman"/>
          <w:b w:val="0"/>
          <w:bCs w:val="0"/>
          <w:caps w:val="0"/>
          <w:sz w:val="24"/>
          <w:szCs w:val="24"/>
        </w:rPr>
        <w:t>O.W. Hollowell &amp; Associates</w:t>
      </w:r>
    </w:p>
    <w:p w14:paraId="4B7B2882">
      <w:pPr>
        <w:spacing w:before="0" w:after="40" w:line="480" w:lineRule="auto"/>
        <w:ind w:left="720"/>
        <w:jc w:val="left"/>
      </w:pPr>
      <w:r>
        <w:rPr>
          <w:rFonts w:ascii="Times New Roman" w:hAnsi="Times New Roman" w:eastAsia="Times New Roman" w:cs="Times New Roman"/>
          <w:b w:val="0"/>
          <w:bCs w:val="0"/>
          <w:caps w:val="0"/>
          <w:sz w:val="24"/>
          <w:szCs w:val="24"/>
        </w:rPr>
        <w:t>4471 Tolt Avenue, P.O. Box 1041</w:t>
      </w:r>
    </w:p>
    <w:p w14:paraId="4E4052BB">
      <w:pPr>
        <w:spacing w:before="0" w:after="200" w:line="480" w:lineRule="auto"/>
        <w:ind w:left="720"/>
        <w:jc w:val="left"/>
      </w:pPr>
      <w:r>
        <w:rPr>
          <w:rFonts w:ascii="Times New Roman" w:hAnsi="Times New Roman" w:eastAsia="Times New Roman" w:cs="Times New Roman"/>
          <w:b w:val="0"/>
          <w:bCs w:val="0"/>
          <w:caps w:val="0"/>
          <w:sz w:val="24"/>
          <w:szCs w:val="24"/>
        </w:rPr>
        <w:t>Carnation, WA 98014</w:t>
      </w:r>
    </w:p>
    <w:p w14:paraId="783E14BA">
      <w:pPr>
        <w:spacing w:before="0" w:after="400" w:line="480" w:lineRule="auto"/>
        <w:ind w:left="720"/>
        <w:jc w:val="left"/>
      </w:pPr>
      <w:r>
        <w:rPr>
          <w:rFonts w:hint="default" w:cs="Times New Roman"/>
          <w:b w:val="0"/>
          <w:bCs w:val="0"/>
          <w:caps w:val="0"/>
          <w:sz w:val="24"/>
          <w:szCs w:val="24"/>
          <w:lang w:val="en-US"/>
        </w:rPr>
        <w:t xml:space="preserve"> </w:t>
      </w:r>
      <w:r>
        <w:rPr>
          <w:rFonts w:ascii="Times New Roman" w:hAnsi="Times New Roman" w:eastAsia="Times New Roman" w:cs="Times New Roman"/>
          <w:b w:val="0"/>
          <w:bCs w:val="0"/>
          <w:caps w:val="0"/>
          <w:sz w:val="24"/>
          <w:szCs w:val="24"/>
        </w:rPr>
        <w:t xml:space="preserve"> By electronic service</w:t>
      </w:r>
    </w:p>
    <w:p w14:paraId="6016797A">
      <w:pPr>
        <w:spacing w:before="0" w:after="40" w:line="480" w:lineRule="auto"/>
        <w:jc w:val="left"/>
      </w:pPr>
      <w:r>
        <w:rPr>
          <w:rFonts w:ascii="Times New Roman" w:hAnsi="Times New Roman" w:eastAsia="Times New Roman" w:cs="Times New Roman"/>
          <w:b w:val="0"/>
          <w:bCs w:val="0"/>
          <w:caps w:val="0"/>
          <w:sz w:val="24"/>
          <w:szCs w:val="24"/>
        </w:rPr>
        <w:t>______________________________</w:t>
      </w:r>
    </w:p>
    <w:p w14:paraId="57021790">
      <w:pPr>
        <w:spacing w:before="0" w:after="400" w:line="480" w:lineRule="auto"/>
        <w:jc w:val="left"/>
      </w:pPr>
      <w:r>
        <w:rPr>
          <w:rFonts w:ascii="Times New Roman" w:hAnsi="Times New Roman" w:eastAsia="Times New Roman" w:cs="Times New Roman"/>
          <w:b w:val="0"/>
          <w:bCs w:val="0"/>
          <w:caps w:val="0"/>
          <w:sz w:val="24"/>
          <w:szCs w:val="24"/>
        </w:rPr>
        <w:t>Zackariah Jeremiah Bennett</w:t>
      </w:r>
    </w:p>
    <w:p w14:paraId="3BEACC92">
      <w:pPr>
        <w:spacing w:before="200" w:after="300" w:line="480" w:lineRule="auto"/>
        <w:jc w:val="center"/>
        <w:rPr>
          <w:rFonts w:ascii="Times New Roman" w:hAnsi="Times New Roman" w:eastAsia="Times New Roman" w:cs="Times New Roman"/>
          <w:b/>
          <w:bCs/>
          <w:caps w:val="0"/>
          <w:sz w:val="26"/>
          <w:szCs w:val="26"/>
        </w:rPr>
      </w:pPr>
    </w:p>
    <w:p w14:paraId="7CD14CA1">
      <w:pPr>
        <w:spacing w:before="200" w:after="300" w:line="480" w:lineRule="auto"/>
        <w:jc w:val="center"/>
        <w:rPr>
          <w:rFonts w:ascii="Times New Roman" w:hAnsi="Times New Roman" w:eastAsia="Times New Roman" w:cs="Times New Roman"/>
          <w:b/>
          <w:bCs/>
          <w:caps w:val="0"/>
          <w:sz w:val="26"/>
          <w:szCs w:val="26"/>
        </w:rPr>
      </w:pPr>
    </w:p>
    <w:p w14:paraId="3C3BEA8A">
      <w:pPr>
        <w:spacing w:before="200" w:after="300" w:line="480" w:lineRule="auto"/>
        <w:jc w:val="center"/>
        <w:rPr>
          <w:rFonts w:ascii="Times New Roman" w:hAnsi="Times New Roman" w:eastAsia="Times New Roman" w:cs="Times New Roman"/>
          <w:b/>
          <w:bCs/>
          <w:caps w:val="0"/>
          <w:sz w:val="26"/>
          <w:szCs w:val="26"/>
        </w:rPr>
      </w:pPr>
    </w:p>
    <w:p w14:paraId="694286FD">
      <w:pPr>
        <w:spacing w:before="200" w:after="300" w:line="480" w:lineRule="auto"/>
        <w:jc w:val="center"/>
        <w:rPr>
          <w:rFonts w:ascii="Times New Roman" w:hAnsi="Times New Roman" w:eastAsia="Times New Roman" w:cs="Times New Roman"/>
          <w:b/>
          <w:bCs/>
          <w:caps w:val="0"/>
          <w:sz w:val="26"/>
          <w:szCs w:val="26"/>
        </w:rPr>
      </w:pPr>
    </w:p>
    <w:p w14:paraId="42C6C8F3">
      <w:pPr>
        <w:spacing w:before="200" w:after="300" w:line="480" w:lineRule="auto"/>
        <w:jc w:val="center"/>
        <w:rPr>
          <w:rFonts w:ascii="Times New Roman" w:hAnsi="Times New Roman" w:eastAsia="Times New Roman" w:cs="Times New Roman"/>
          <w:b/>
          <w:bCs/>
          <w:caps w:val="0"/>
          <w:sz w:val="26"/>
          <w:szCs w:val="26"/>
        </w:rPr>
        <w:sectPr>
          <w:pgSz w:w="12240" w:h="15840"/>
          <w:pgMar w:top="2160" w:right="2160" w:bottom="2160" w:left="2880" w:header="708" w:footer="706" w:gutter="0"/>
          <w:paperSrc/>
          <w:pgNumType w:fmt="upperLetter"/>
          <w:cols w:space="0" w:num="1"/>
          <w:rtlGutter w:val="0"/>
          <w:docGrid w:linePitch="360" w:charSpace="0"/>
        </w:sectPr>
      </w:pPr>
    </w:p>
    <w:p w14:paraId="70569B87">
      <w:pPr>
        <w:spacing w:before="200" w:after="300" w:line="480" w:lineRule="auto"/>
        <w:jc w:val="center"/>
      </w:pPr>
      <w:r>
        <w:rPr>
          <w:rFonts w:ascii="Times New Roman" w:hAnsi="Times New Roman" w:eastAsia="Times New Roman" w:cs="Times New Roman"/>
          <w:b/>
          <w:bCs/>
          <w:caps w:val="0"/>
          <w:sz w:val="26"/>
          <w:szCs w:val="26"/>
        </w:rPr>
        <w:t>WORD COUNT CERTIFICATION</w:t>
      </w:r>
    </w:p>
    <w:p w14:paraId="626C9F75">
      <w:pPr>
        <w:spacing w:before="0" w:after="400" w:line="480" w:lineRule="auto"/>
        <w:ind w:firstLine="720"/>
        <w:jc w:val="left"/>
      </w:pPr>
      <w:r>
        <w:rPr>
          <w:rFonts w:ascii="Times New Roman" w:hAnsi="Times New Roman" w:eastAsia="Times New Roman" w:cs="Times New Roman"/>
          <w:b w:val="0"/>
          <w:bCs w:val="0"/>
          <w:sz w:val="24"/>
          <w:szCs w:val="24"/>
        </w:rPr>
        <w:t>I certify that this petition contains _______ words, excluding appendices, title page, table of contents, and table of authorities, in compliance with RAP 18.17.</w:t>
      </w:r>
    </w:p>
    <w:p w14:paraId="3ACEBC0A">
      <w:pPr>
        <w:spacing w:before="0" w:after="40" w:line="480" w:lineRule="auto"/>
        <w:jc w:val="left"/>
      </w:pPr>
      <w:r>
        <w:rPr>
          <w:rFonts w:ascii="Times New Roman" w:hAnsi="Times New Roman" w:eastAsia="Times New Roman" w:cs="Times New Roman"/>
          <w:b w:val="0"/>
          <w:bCs w:val="0"/>
          <w:caps w:val="0"/>
          <w:sz w:val="24"/>
          <w:szCs w:val="24"/>
        </w:rPr>
        <w:t>______________________________</w:t>
      </w:r>
    </w:p>
    <w:p w14:paraId="2008B840">
      <w:pPr>
        <w:spacing w:before="0" w:after="0" w:line="480" w:lineRule="auto"/>
        <w:jc w:val="left"/>
      </w:pPr>
      <w:r>
        <w:rPr>
          <w:rFonts w:ascii="Times New Roman" w:hAnsi="Times New Roman" w:eastAsia="Times New Roman" w:cs="Times New Roman"/>
          <w:b w:val="0"/>
          <w:bCs w:val="0"/>
          <w:caps w:val="0"/>
          <w:sz w:val="24"/>
          <w:szCs w:val="24"/>
        </w:rPr>
        <w:t>Zackariah Jeremiah Bennett</w:t>
      </w:r>
    </w:p>
    <w:sectPr>
      <w:pgSz w:w="12240" w:h="15840"/>
      <w:pgMar w:top="2160" w:right="2160" w:bottom="2160" w:left="2880" w:header="708" w:footer="706" w:gutter="0"/>
      <w:paperSrc/>
      <w:pgNumType w:fmt="upperLetter"/>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Alef">
    <w:panose1 w:val="00000500000000000000"/>
    <w:charset w:val="00"/>
    <w:family w:val="auto"/>
    <w:pitch w:val="default"/>
    <w:sig w:usb0="00000807" w:usb1="40000000" w:usb2="00000000" w:usb3="00000000" w:csb0="200000B3" w:csb1="00000000"/>
  </w:font>
  <w:font w:name="Amiri Quran">
    <w:panose1 w:val="00000500000000000000"/>
    <w:charset w:val="00"/>
    <w:family w:val="auto"/>
    <w:pitch w:val="default"/>
    <w:sig w:usb0="80002043" w:usb1="80002000" w:usb2="00000000" w:usb3="00000000" w:csb0="00000040" w:csb1="00000000"/>
  </w:font>
  <w:font w:name="Arial Narrow">
    <w:panose1 w:val="020B0606020202030204"/>
    <w:charset w:val="00"/>
    <w:family w:val="auto"/>
    <w:pitch w:val="default"/>
    <w:sig w:usb0="00000287" w:usb1="00000800" w:usb2="00000000" w:usb3="00000000" w:csb0="2000009F" w:csb1="DFD70000"/>
  </w:font>
  <w:font w:name="Bahnschrift Ligh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lood Script Italic Personal Us">
    <w:panose1 w:val="00000000000000000000"/>
    <w:charset w:val="00"/>
    <w:family w:val="auto"/>
    <w:pitch w:val="default"/>
    <w:sig w:usb0="8000002F" w:usb1="10000048" w:usb2="00000000" w:usb3="00000000" w:csb0="20000019" w:csb1="C4000000"/>
  </w:font>
  <w:font w:name="Candara Light">
    <w:panose1 w:val="020E0502030303020204"/>
    <w:charset w:val="00"/>
    <w:family w:val="auto"/>
    <w:pitch w:val="default"/>
    <w:sig w:usb0="A00002FF" w:usb1="00000002" w:usb2="00000000" w:usb3="00000000" w:csb0="0000019F" w:csb1="00000000"/>
  </w:font>
  <w:font w:name="Cascadia Code SemiLight">
    <w:panose1 w:val="020B0609020000020004"/>
    <w:charset w:val="00"/>
    <w:family w:val="auto"/>
    <w:pitch w:val="default"/>
    <w:sig w:usb0="A10002FF" w:usb1="4000F9FB" w:usb2="00040000" w:usb3="00000000" w:csb0="6000019F" w:csb1="DFD70000"/>
  </w:font>
  <w:font w:name="Cloister Black">
    <w:panose1 w:val="00000400000000000000"/>
    <w:charset w:val="00"/>
    <w:family w:val="auto"/>
    <w:pitch w:val="default"/>
    <w:sig w:usb0="80000027" w:usb1="00000040" w:usb2="00000000" w:usb3="00000000" w:csb0="00000001" w:csb1="00000000"/>
  </w:font>
  <w:font w:name="Corbel Light">
    <w:panose1 w:val="020B0303020204020204"/>
    <w:charset w:val="00"/>
    <w:family w:val="auto"/>
    <w:pitch w:val="default"/>
    <w:sig w:usb0="A00002EF" w:usb1="4000A44B" w:usb2="00000000" w:usb3="00000000" w:csb0="2000019F" w:csb1="00000000"/>
  </w:font>
  <w:font w:name="David Libre">
    <w:panose1 w:val="00000500000000000000"/>
    <w:charset w:val="00"/>
    <w:family w:val="auto"/>
    <w:pitch w:val="default"/>
    <w:sig w:usb0="2000080F" w:usb1="40000000" w:usb2="00000000" w:usb3="00000000" w:csb0="20000133" w:csb1="00000000"/>
  </w:font>
  <w:font w:name="DejaVu Serif">
    <w:panose1 w:val="02060603050605020204"/>
    <w:charset w:val="00"/>
    <w:family w:val="auto"/>
    <w:pitch w:val="default"/>
    <w:sig w:usb0="E50006FF" w:usb1="5200F9FB" w:usb2="0A040020" w:usb3="00000000" w:csb0="6000009F" w:csb1="DFD70000"/>
  </w:font>
  <w:font w:name="EmojiOne Color">
    <w:panose1 w:val="02000503000000000000"/>
    <w:charset w:val="00"/>
    <w:family w:val="auto"/>
    <w:pitch w:val="default"/>
    <w:sig w:usb0="80000001" w:usb1="0241E4AC" w:usb2="08000000" w:usb3="04000000" w:csb0="00000001" w:csb1="00000000"/>
  </w:font>
  <w:font w:name="Javanese Text">
    <w:panose1 w:val="02000000000000000000"/>
    <w:charset w:val="00"/>
    <w:family w:val="auto"/>
    <w:pitch w:val="default"/>
    <w:sig w:usb0="80000003" w:usb1="00002000" w:usb2="00000000" w:usb3="00000000" w:csb0="00000001" w:csb1="00000000"/>
  </w:font>
  <w:font w:name="Liberation Sans Narrow">
    <w:panose1 w:val="020B0606020202030204"/>
    <w:charset w:val="00"/>
    <w:family w:val="auto"/>
    <w:pitch w:val="default"/>
    <w:sig w:usb0="A00002AF" w:usb1="500078FB" w:usb2="00000000" w:usb3="00000000" w:csb0="6000009F" w:csb1="DFD70000"/>
  </w:font>
  <w:font w:name="Microsoft JhengHei">
    <w:panose1 w:val="020B0604030504040204"/>
    <w:charset w:val="88"/>
    <w:family w:val="auto"/>
    <w:pitch w:val="default"/>
    <w:sig w:usb0="000002A7" w:usb1="28CF4400" w:usb2="00000016" w:usb3="00000000" w:csb0="00100009" w:csb1="00000000"/>
  </w:font>
  <w:font w:name="Microsoft Tai Le">
    <w:panose1 w:val="020B0502040204020203"/>
    <w:charset w:val="00"/>
    <w:family w:val="auto"/>
    <w:pitch w:val="default"/>
    <w:sig w:usb0="00000003" w:usb1="00000000" w:usb2="40000000" w:usb3="00000000" w:csb0="00000001" w:csb1="00000000"/>
  </w:font>
  <w:font w:name="Microsoft Yi Baiti">
    <w:panose1 w:val="03000500000000000000"/>
    <w:charset w:val="00"/>
    <w:family w:val="auto"/>
    <w:pitch w:val="default"/>
    <w:sig w:usb0="80000003" w:usb1="00010402" w:usb2="00080002" w:usb3="00000000" w:csb0="00000001" w:csb1="00000000"/>
  </w:font>
  <w:font w:name="Miriam Mono CLM">
    <w:panose1 w:val="02000503000000000000"/>
    <w:charset w:val="00"/>
    <w:family w:val="auto"/>
    <w:pitch w:val="default"/>
    <w:sig w:usb0="80000803" w:usb1="50002802" w:usb2="00000000" w:usb3="00000000" w:csb0="00000020" w:csb1="00000000"/>
  </w:font>
  <w:font w:name="MV Boli">
    <w:panose1 w:val="02000500030200090000"/>
    <w:charset w:val="00"/>
    <w:family w:val="auto"/>
    <w:pitch w:val="default"/>
    <w:sig w:usb0="00000003" w:usb1="00000000" w:usb2="00000100" w:usb3="00000000" w:csb0="00000001" w:csb1="00000000"/>
  </w:font>
  <w:font w:name="Neo Sans">
    <w:panose1 w:val="02000506020000020004"/>
    <w:charset w:val="00"/>
    <w:family w:val="auto"/>
    <w:pitch w:val="default"/>
    <w:sig w:usb0="00000001" w:usb1="00000000" w:usb2="00000000" w:usb3="00000000" w:csb0="00000001" w:csb1="00000000"/>
  </w:font>
  <w:font w:name="Noto Naskh Arabic UI">
    <w:panose1 w:val="020B0502040504020204"/>
    <w:charset w:val="00"/>
    <w:family w:val="auto"/>
    <w:pitch w:val="default"/>
    <w:sig w:usb0="80002003" w:usb1="80002000" w:usb2="00000008" w:usb3="00000000" w:csb0="00000041" w:csb1="00080000"/>
  </w:font>
  <w:font w:name="Noto Serif Armenian">
    <w:panose1 w:val="02020502060505020204"/>
    <w:charset w:val="00"/>
    <w:family w:val="auto"/>
    <w:pitch w:val="default"/>
    <w:sig w:usb0="80000403" w:usb1="4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PartnerCondensed">
    <w:panose1 w:val="00000506000000000000"/>
    <w:charset w:val="00"/>
    <w:family w:val="auto"/>
    <w:pitch w:val="default"/>
    <w:sig w:usb0="8000028B" w:usb1="0000204A" w:usb2="00000000" w:usb3="00000000" w:csb0="00000005" w:csb1="00000000"/>
  </w:font>
  <w:font w:name="Segoe Script">
    <w:panose1 w:val="030B0504020000000003"/>
    <w:charset w:val="00"/>
    <w:family w:val="auto"/>
    <w:pitch w:val="default"/>
    <w:sig w:usb0="0000028F" w:usb1="00000000" w:usb2="00000000" w:usb3="00000000" w:csb0="0000009F" w:csb1="00000000"/>
  </w:font>
  <w:font w:name="Segoe UI Light">
    <w:panose1 w:val="020B0502040204020203"/>
    <w:charset w:val="00"/>
    <w:family w:val="auto"/>
    <w:pitch w:val="default"/>
    <w:sig w:usb0="E4002EFF" w:usb1="C000E47F" w:usb2="00000009" w:usb3="00000000" w:csb0="200001FF" w:csb1="00000000"/>
  </w:font>
  <w:font w:name="SimSun-ExtB">
    <w:panose1 w:val="02010609060101010101"/>
    <w:charset w:val="86"/>
    <w:family w:val="auto"/>
    <w:pitch w:val="default"/>
    <w:sig w:usb0="00000001" w:usb1="02000000" w:usb2="00000000" w:usb3="00000000" w:csb0="00040001" w:csb1="00000000"/>
  </w:font>
  <w:font w:name="Sitka Subheading">
    <w:panose1 w:val="02000505000000020004"/>
    <w:charset w:val="00"/>
    <w:family w:val="auto"/>
    <w:pitch w:val="default"/>
    <w:sig w:usb0="A00002EF" w:usb1="4000204B" w:usb2="00000000" w:usb3="00000000" w:csb0="2000019F" w:csb1="00000000"/>
  </w:font>
  <w:font w:name="Source Code Pro Light">
    <w:panose1 w:val="020B0409030403020204"/>
    <w:charset w:val="00"/>
    <w:family w:val="auto"/>
    <w:pitch w:val="default"/>
    <w:sig w:usb0="200002F7" w:usb1="02003803" w:usb2="00000000" w:usb3="00000000" w:csb0="6000019F" w:csb1="00000000"/>
  </w:font>
  <w:font w:name="Source Sans Pro ExtraLight">
    <w:panose1 w:val="020B0303030403020204"/>
    <w:charset w:val="00"/>
    <w:family w:val="auto"/>
    <w:pitch w:val="default"/>
    <w:sig w:usb0="600002F7" w:usb1="02000001" w:usb2="00000000" w:usb3="00000000" w:csb0="2000019F" w:csb1="00000000"/>
  </w:font>
  <w:font w:name="Source Serif Pro Light">
    <w:panose1 w:val="02040303050405020204"/>
    <w:charset w:val="00"/>
    <w:family w:val="auto"/>
    <w:pitch w:val="default"/>
    <w:sig w:usb0="20000287" w:usb1="02000003" w:usb2="00000000" w:usb3="00000000" w:csb0="2000019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418F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AD5B7F">
                          <w:pPr>
                            <w:pStyle w:val="10"/>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DAD5B7F">
                    <w:pPr>
                      <w:pStyle w:val="10"/>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11BDC">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1D4A58">
                          <w:pPr>
                            <w:pStyle w:val="10"/>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371D4A58">
                    <w:pPr>
                      <w:pStyle w:val="10"/>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C911">
    <w:pPr>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645D01">
                          <w:pPr>
                            <w:pStyle w:val="10"/>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37645D01">
                    <w:pPr>
                      <w:pStyle w:val="10"/>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B5ED5">
    <w:pPr>
      <w:snapToGrid w:val="0"/>
      <w:jc w:val="left"/>
      <w:rPr>
        <w:rFonts w:asciiTheme="minorHAnsi" w:hAnsiTheme="minorHAnsi" w:eastAsiaTheme="minorEastAsia" w:cstheme="minorBidi"/>
        <w:kern w:val="0"/>
        <w:sz w:val="18"/>
        <w:szCs w:val="18"/>
        <w:lang w:val="en-US" w:eastAsia="zh-CN" w:bidi="a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628BE">
    <w:pPr>
      <w:snapToGrid w:val="0"/>
      <w:jc w:val="left"/>
      <w:rPr>
        <w:rFonts w:asciiTheme="minorHAnsi" w:hAnsiTheme="minorHAnsi" w:eastAsiaTheme="minorEastAsia" w:cstheme="minorBidi"/>
        <w:kern w:val="0"/>
        <w:sz w:val="18"/>
        <w:szCs w:val="18"/>
        <w:lang w:val="en-US" w:eastAsia="zh-CN" w:bidi="ar"/>
      </w:rPr>
    </w:pPr>
    <w:r>
      <w:rPr>
        <w:rFonts w:asciiTheme="minorHAnsi" w:hAnsiTheme="minorHAnsi" w:eastAsiaTheme="minorEastAsia" w:cstheme="minorBidi"/>
        <w:kern w:val="0"/>
        <w:sz w:val="18"/>
        <w:szCs w:val="18"/>
        <w:lang w:val="en-US" w:eastAsia="zh-CN" w:bidi="ar"/>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BA9BE9">
                          <w:pPr>
                            <w:snapToGrid w:val="0"/>
                            <w:jc w:val="left"/>
                            <w:rPr>
                              <w:rFonts w:asciiTheme="minorHAnsi" w:hAnsiTheme="minorHAnsi" w:eastAsiaTheme="minorEastAsia" w:cstheme="minorBidi"/>
                              <w:kern w:val="0"/>
                              <w:sz w:val="18"/>
                              <w:szCs w:val="18"/>
                              <w:lang w:val="en-US" w:eastAsia="zh-CN" w:bidi="ar"/>
                            </w:rPr>
                          </w:pPr>
                          <w:r>
                            <w:rPr>
                              <w:rFonts w:asciiTheme="minorHAnsi" w:hAnsiTheme="minorHAnsi" w:eastAsiaTheme="minorEastAsia" w:cstheme="minorBidi"/>
                              <w:kern w:val="0"/>
                              <w:sz w:val="18"/>
                              <w:szCs w:val="18"/>
                              <w:lang w:val="en-US" w:eastAsia="zh-CN" w:bidi="ar"/>
                            </w:rPr>
                            <w:fldChar w:fldCharType="begin"/>
                          </w:r>
                          <w:r>
                            <w:rPr>
                              <w:rFonts w:asciiTheme="minorHAnsi" w:hAnsiTheme="minorHAnsi" w:eastAsiaTheme="minorEastAsia" w:cstheme="minorBidi"/>
                              <w:kern w:val="0"/>
                              <w:sz w:val="18"/>
                              <w:szCs w:val="18"/>
                              <w:lang w:val="en-US" w:eastAsia="zh-CN" w:bidi="ar"/>
                            </w:rPr>
                            <w:instrText xml:space="preserve"> PAGE  \* MERGEFORMAT </w:instrText>
                          </w:r>
                          <w:r>
                            <w:rPr>
                              <w:rFonts w:asciiTheme="minorHAnsi" w:hAnsiTheme="minorHAnsi" w:eastAsiaTheme="minorEastAsia" w:cstheme="minorBidi"/>
                              <w:kern w:val="0"/>
                              <w:sz w:val="18"/>
                              <w:szCs w:val="18"/>
                              <w:lang w:val="en-US" w:eastAsia="zh-CN" w:bidi="ar"/>
                            </w:rPr>
                            <w:fldChar w:fldCharType="separate"/>
                          </w:r>
                          <w:r>
                            <w:rPr>
                              <w:rFonts w:asciiTheme="minorHAnsi" w:hAnsiTheme="minorHAnsi" w:eastAsiaTheme="minorEastAsia" w:cstheme="minorBidi"/>
                              <w:kern w:val="0"/>
                              <w:sz w:val="18"/>
                              <w:szCs w:val="18"/>
                              <w:lang w:val="en-US" w:eastAsia="zh-CN" w:bidi="ar"/>
                            </w:rPr>
                            <w:t>1</w:t>
                          </w:r>
                          <w:r>
                            <w:rPr>
                              <w:rFonts w:asciiTheme="minorHAnsi" w:hAnsiTheme="minorHAnsi" w:eastAsiaTheme="minorEastAsia" w:cstheme="minorBidi"/>
                              <w:kern w:val="0"/>
                              <w:sz w:val="18"/>
                              <w:szCs w:val="18"/>
                              <w:lang w:val="en-US" w:eastAsia="zh-CN" w:bidi="ar"/>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fD+4m7gBAACYAwAADgAAAAAAAAABACAAAAAeAQAAZHJzL2Uyb0RvYy54bWxQSwUGAAAAAAYABgBZ&#10;AQAASAUAAAAA&#10;">
              <v:fill on="f" focussize="0,0"/>
              <v:stroke on="f"/>
              <v:imagedata o:title=""/>
              <o:lock v:ext="edit" aspectratio="f"/>
              <v:textbox inset="0mm,0mm,0mm,0mm" style="mso-fit-shape-to-text:t;">
                <w:txbxContent>
                  <w:p w14:paraId="31BA9BE9">
                    <w:pPr>
                      <w:snapToGrid w:val="0"/>
                      <w:jc w:val="left"/>
                      <w:rPr>
                        <w:rFonts w:asciiTheme="minorHAnsi" w:hAnsiTheme="minorHAnsi" w:eastAsiaTheme="minorEastAsia" w:cstheme="minorBidi"/>
                        <w:kern w:val="0"/>
                        <w:sz w:val="18"/>
                        <w:szCs w:val="18"/>
                        <w:lang w:val="en-US" w:eastAsia="zh-CN" w:bidi="ar"/>
                      </w:rPr>
                    </w:pPr>
                    <w:r>
                      <w:rPr>
                        <w:rFonts w:asciiTheme="minorHAnsi" w:hAnsiTheme="minorHAnsi" w:eastAsiaTheme="minorEastAsia" w:cstheme="minorBidi"/>
                        <w:kern w:val="0"/>
                        <w:sz w:val="18"/>
                        <w:szCs w:val="18"/>
                        <w:lang w:val="en-US" w:eastAsia="zh-CN" w:bidi="ar"/>
                      </w:rPr>
                      <w:fldChar w:fldCharType="begin"/>
                    </w:r>
                    <w:r>
                      <w:rPr>
                        <w:rFonts w:asciiTheme="minorHAnsi" w:hAnsiTheme="minorHAnsi" w:eastAsiaTheme="minorEastAsia" w:cstheme="minorBidi"/>
                        <w:kern w:val="0"/>
                        <w:sz w:val="18"/>
                        <w:szCs w:val="18"/>
                        <w:lang w:val="en-US" w:eastAsia="zh-CN" w:bidi="ar"/>
                      </w:rPr>
                      <w:instrText xml:space="preserve"> PAGE  \* MERGEFORMAT </w:instrText>
                    </w:r>
                    <w:r>
                      <w:rPr>
                        <w:rFonts w:asciiTheme="minorHAnsi" w:hAnsiTheme="minorHAnsi" w:eastAsiaTheme="minorEastAsia" w:cstheme="minorBidi"/>
                        <w:kern w:val="0"/>
                        <w:sz w:val="18"/>
                        <w:szCs w:val="18"/>
                        <w:lang w:val="en-US" w:eastAsia="zh-CN" w:bidi="ar"/>
                      </w:rPr>
                      <w:fldChar w:fldCharType="separate"/>
                    </w:r>
                    <w:r>
                      <w:rPr>
                        <w:rFonts w:asciiTheme="minorHAnsi" w:hAnsiTheme="minorHAnsi" w:eastAsiaTheme="minorEastAsia" w:cstheme="minorBidi"/>
                        <w:kern w:val="0"/>
                        <w:sz w:val="18"/>
                        <w:szCs w:val="18"/>
                        <w:lang w:val="en-US" w:eastAsia="zh-CN" w:bidi="ar"/>
                      </w:rPr>
                      <w:t>1</w:t>
                    </w:r>
                    <w:r>
                      <w:rPr>
                        <w:rFonts w:asciiTheme="minorHAnsi" w:hAnsiTheme="minorHAnsi" w:eastAsiaTheme="minorEastAsia" w:cstheme="minorBidi"/>
                        <w:kern w:val="0"/>
                        <w:sz w:val="18"/>
                        <w:szCs w:val="18"/>
                        <w:lang w:val="en-US" w:eastAsia="zh-CN" w:bidi="ar"/>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020CEBC">
      <w:pPr>
        <w:snapToGrid w:val="0"/>
        <w:jc w:val="left"/>
        <w:rPr>
          <w:rFonts w:hint="default" w:asciiTheme="minorHAnsi" w:hAnsiTheme="minorHAnsi" w:eastAsiaTheme="minorEastAsia" w:cstheme="minorBidi"/>
          <w:kern w:val="0"/>
          <w:sz w:val="18"/>
          <w:szCs w:val="18"/>
          <w:lang w:val="en-US" w:eastAsia="zh-CN" w:bidi="ar"/>
        </w:rPr>
      </w:pPr>
      <w:r>
        <w:rPr>
          <w:rStyle w:val="11"/>
          <w:rFonts w:asciiTheme="minorHAnsi" w:hAnsiTheme="minorHAnsi" w:eastAsiaTheme="minorEastAsia" w:cstheme="minorBidi"/>
          <w:kern w:val="0"/>
          <w:sz w:val="24"/>
          <w:szCs w:val="24"/>
          <w:lang w:val="en-US" w:eastAsia="zh-CN" w:bidi="ar"/>
        </w:rPr>
        <w:footnoteRef/>
      </w:r>
      <w:r>
        <w:rPr>
          <w:rFonts w:asciiTheme="minorHAnsi" w:hAnsiTheme="minorHAnsi" w:eastAsiaTheme="minorEastAsia" w:cstheme="minorBidi"/>
          <w:kern w:val="0"/>
          <w:sz w:val="18"/>
          <w:szCs w:val="18"/>
          <w:lang w:val="en-US" w:eastAsia="zh-CN" w:bidi="ar"/>
        </w:rPr>
        <w:t xml:space="preserve"> </w:t>
      </w:r>
      <w:r>
        <w:rPr>
          <w:rFonts w:hint="default" w:asciiTheme="minorHAnsi" w:hAnsiTheme="minorHAnsi" w:eastAsiaTheme="minorEastAsia" w:cstheme="minorBidi"/>
          <w:kern w:val="0"/>
          <w:sz w:val="18"/>
          <w:szCs w:val="18"/>
          <w:lang w:val="en-US" w:eastAsia="zh-CN" w:bidi="ar"/>
        </w:rPr>
        <w:t xml:space="preserve">The ‘evidence’ in reference is security video of the underling incident, spoliated by Manning. Council Gass was fully aware the statement was false/mileading. </w:t>
      </w:r>
    </w:p>
    <w:p w14:paraId="33AD233D">
      <w:pPr>
        <w:snapToGrid w:val="0"/>
        <w:jc w:val="left"/>
        <w:rPr>
          <w:rFonts w:hint="default" w:asciiTheme="minorHAnsi" w:hAnsiTheme="minorHAnsi" w:eastAsiaTheme="minorEastAsia" w:cstheme="minorBidi"/>
          <w:kern w:val="0"/>
          <w:sz w:val="18"/>
          <w:szCs w:val="18"/>
          <w:lang w:val="en-US" w:eastAsia="zh-CN" w:bidi="ar"/>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C400B">
    <w:pPr>
      <w:spacing w:after="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A369C">
    <w:pPr>
      <w:spacing w:after="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74B6CD"/>
    <w:multiLevelType w:val="multilevel"/>
    <w:tmpl w:val="FA74B6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8617538"/>
    <w:multiLevelType w:val="multilevel"/>
    <w:tmpl w:val="486175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hdrShapeDefaults>
    <o:shapelayout v:ext="edit">
      <o:idmap v:ext="edit" data="2"/>
    </o:shapelayout>
  </w:hdrShapeDefaults>
  <w:footnotePr>
    <w:footnote w:id="2"/>
    <w:footnote w:id="3"/>
  </w:footnotePr>
  <w:compat>
    <w:compatSetting w:name="compatibilityMode" w:uri="http://schemas.microsoft.com/office/word" w:val="15"/>
  </w:compat>
  <w:rsids>
    <w:rsidRoot w:val="00000000"/>
    <w:rsid w:val="143A3D8D"/>
    <w:rsid w:val="1CD63A5F"/>
    <w:rsid w:val="3BF014E4"/>
    <w:rsid w:val="650511DC"/>
    <w:rsid w:val="76277A9F"/>
    <w:rsid w:val="789101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link w:val="24"/>
    <w:qFormat/>
    <w:uiPriority w:val="0"/>
    <w:pPr>
      <w:bidi w:val="0"/>
      <w:spacing w:before="0" w:beforeAutospacing="1" w:after="0" w:afterAutospacing="1" w:line="30" w:lineRule="atLeast"/>
      <w:ind w:left="0" w:leftChars="0" w:right="0" w:rightChars="0"/>
      <w:jc w:val="left"/>
      <w:outlineLvl w:val="2"/>
    </w:pPr>
    <w:rPr>
      <w:rFonts w:ascii="Times New Roman" w:hAnsi="Times New Roman" w:cs="Times New Roman" w:eastAsiaTheme="minorEastAsia"/>
      <w:b/>
      <w:bCs/>
      <w:color w:val="000000"/>
      <w:kern w:val="0"/>
      <w:sz w:val="24"/>
      <w:szCs w:val="24"/>
      <w:lang w:val="en-US" w:eastAsia="zh-CN" w:bidi="ar"/>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21"/>
    <w:semiHidden/>
    <w:unhideWhenUsed/>
    <w:uiPriority w:val="99"/>
    <w:pPr>
      <w:spacing w:after="0" w:line="240" w:lineRule="auto"/>
    </w:pPr>
    <w:rPr>
      <w:rFonts w:ascii="Times New Roman" w:hAnsi="Times New Roman" w:eastAsia="Times New Roman" w:cs="Times New Roman"/>
      <w:sz w:val="20"/>
      <w:szCs w:val="20"/>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16">
    <w:name w:val="Strong"/>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toc 1"/>
    <w:next w:val="1"/>
    <w:uiPriority w:val="0"/>
    <w:pPr>
      <w:jc w:val="left"/>
    </w:pPr>
    <w:rPr>
      <w:rFonts w:asciiTheme="minorHAnsi" w:hAnsiTheme="minorHAnsi" w:eastAsiaTheme="minorEastAsia" w:cstheme="minorBidi"/>
      <w:kern w:val="0"/>
      <w:sz w:val="24"/>
      <w:szCs w:val="24"/>
      <w:lang w:val="en-US" w:eastAsia="zh-CN" w:bidi="ar"/>
    </w:rPr>
  </w:style>
  <w:style w:type="paragraph" w:styleId="19">
    <w:name w:val="toc 2"/>
    <w:next w:val="1"/>
    <w:uiPriority w:val="0"/>
    <w:pPr>
      <w:ind w:left="420" w:leftChars="200"/>
      <w:jc w:val="left"/>
    </w:pPr>
    <w:rPr>
      <w:rFonts w:asciiTheme="minorHAnsi" w:hAnsiTheme="minorHAnsi" w:eastAsiaTheme="minorEastAsia" w:cstheme="minorBidi"/>
      <w:kern w:val="0"/>
      <w:sz w:val="24"/>
      <w:szCs w:val="24"/>
      <w:lang w:val="en-US" w:eastAsia="zh-CN" w:bidi="ar"/>
    </w:rPr>
  </w:style>
  <w:style w:type="paragraph" w:styleId="20">
    <w:name w:val="List Paragraph"/>
    <w:qFormat/>
    <w:uiPriority w:val="0"/>
    <w:rPr>
      <w:rFonts w:ascii="Times New Roman" w:hAnsi="Times New Roman" w:eastAsia="Times New Roman" w:cs="Times New Roman"/>
      <w:sz w:val="24"/>
      <w:szCs w:val="24"/>
    </w:rPr>
  </w:style>
  <w:style w:type="character" w:customStyle="1" w:styleId="21">
    <w:name w:val="Footnote Text Char"/>
    <w:link w:val="12"/>
    <w:semiHidden/>
    <w:unhideWhenUsed/>
    <w:uiPriority w:val="99"/>
    <w:rPr>
      <w:sz w:val="20"/>
      <w:szCs w:val="20"/>
    </w:rPr>
  </w:style>
  <w:style w:type="paragraph" w:customStyle="1" w:styleId="22">
    <w:name w:val="note"/>
    <w:qFormat/>
    <w:uiPriority w:val="0"/>
    <w:pPr>
      <w:spacing w:after="240" w:afterAutospacing="0" w:line="18" w:lineRule="atLeast"/>
      <w:jc w:val="left"/>
    </w:pPr>
    <w:rPr>
      <w:rFonts w:asciiTheme="minorHAnsi" w:hAnsiTheme="minorHAnsi" w:eastAsiaTheme="minorEastAsia" w:cstheme="minorBidi"/>
      <w:i/>
      <w:iCs/>
      <w:kern w:val="0"/>
      <w:sz w:val="22"/>
      <w:szCs w:val="22"/>
      <w:lang w:val="en-US" w:eastAsia="zh-CN" w:bidi="ar"/>
    </w:rPr>
  </w:style>
  <w:style w:type="character" w:customStyle="1" w:styleId="23">
    <w:name w:val="highlight1"/>
    <w:qFormat/>
    <w:uiPriority w:val="0"/>
    <w:rPr>
      <w:b/>
      <w:bCs/>
      <w:u w:val="single"/>
    </w:rPr>
  </w:style>
  <w:style w:type="character" w:customStyle="1" w:styleId="24">
    <w:name w:val="Heading 3 Char"/>
    <w:link w:val="4"/>
    <w:uiPriority w:val="0"/>
    <w:rPr>
      <w:rFonts w:ascii="Times New Roman" w:hAnsi="Times New Roman" w:cs="Times New Roman" w:eastAsiaTheme="minorEastAsia"/>
      <w:b/>
      <w:bCs/>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TotalTime>203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2026-03-01T10:00:00Z</dcterms:created>
  <dc:creator>Un-named</dc:creator>
  <cp:lastModifiedBy>Re. Zack Bennett</cp:lastModifiedBy>
  <dcterms:modified xsi:type="dcterms:W3CDTF">2026-03-10T12:28:06Z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C773AC730E704218A506248C87A7FD27_12</vt:lpwstr>
  </property>
</Properties>
</file>