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B4E2A">
      <w:pPr>
        <w:spacing w:after="60"/>
        <w:jc w:val="center"/>
      </w:pPr>
      <w:r>
        <w:rPr>
          <w:rFonts w:ascii="Arial" w:hAnsi="Arial" w:eastAsia="Arial" w:cs="Arial"/>
          <w:b/>
          <w:bCs/>
          <w:color w:val="1A1A2E"/>
          <w:sz w:val="36"/>
          <w:szCs w:val="36"/>
        </w:rPr>
        <w:t>FORENSIC DOCUMENT ANALYSIS</w:t>
      </w:r>
    </w:p>
    <w:p w14:paraId="4F812CE4">
      <w:pPr>
        <w:spacing w:after="60"/>
        <w:jc w:val="center"/>
      </w:pPr>
      <w:r>
        <w:rPr>
          <w:rFonts w:ascii="Arial" w:hAnsi="Arial" w:eastAsia="Arial" w:cs="Arial"/>
          <w:color w:val="2C3E50"/>
          <w:sz w:val="28"/>
          <w:szCs w:val="28"/>
        </w:rPr>
        <w:t>Declaration of John Manning</w:t>
      </w:r>
    </w:p>
    <w:p w14:paraId="36E0E3A7">
      <w:pPr>
        <w:spacing w:after="60"/>
        <w:jc w:val="center"/>
      </w:pPr>
      <w:r>
        <w:rPr>
          <w:rFonts w:ascii="Arial" w:hAnsi="Arial" w:eastAsia="Arial" w:cs="Arial"/>
          <w:i/>
          <w:iCs/>
          <w:color w:val="555555"/>
          <w:sz w:val="22"/>
          <w:szCs w:val="22"/>
        </w:rPr>
        <w:t>Submitted in Support of Defendant’s Motion for Summary Judgment</w:t>
      </w:r>
    </w:p>
    <w:p w14:paraId="29693EC3">
      <w:pPr>
        <w:pBdr>
          <w:bottom w:val="single" w:color="2C3E50" w:sz="6" w:space="8"/>
        </w:pBdr>
        <w:spacing w:after="300"/>
        <w:jc w:val="center"/>
      </w:pPr>
      <w:r>
        <w:rPr>
          <w:rFonts w:ascii="Arial" w:hAnsi="Arial" w:eastAsia="Arial" w:cs="Arial"/>
          <w:color w:val="666666"/>
          <w:sz w:val="20"/>
          <w:szCs w:val="20"/>
        </w:rPr>
        <w:t>Bennett v. Manning, No. 23-2-11352-7 (King County Superior Court)</w:t>
      </w:r>
    </w:p>
    <w:p w14:paraId="18653FE6">
      <w:pPr>
        <w:pStyle w:val="2"/>
        <w:spacing w:before="300" w:after="120"/>
      </w:pPr>
      <w:r>
        <w:rPr>
          <w:rFonts w:ascii="Arial" w:hAnsi="Arial" w:eastAsia="Arial" w:cs="Arial"/>
          <w:b/>
          <w:bCs/>
          <w:sz w:val="28"/>
          <w:szCs w:val="28"/>
        </w:rPr>
        <w:t>I. DOCUMENT IDENTIFICATION</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48"/>
      </w:tblGrid>
      <w:tr w14:paraId="0373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A6596D">
            <w:r>
              <w:rPr>
                <w:rFonts w:ascii="Arial" w:hAnsi="Arial" w:eastAsia="Arial" w:cs="Arial"/>
                <w:b/>
                <w:bCs/>
                <w:sz w:val="20"/>
                <w:szCs w:val="20"/>
              </w:rPr>
              <w:t>Document Title:</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B5B7FD">
            <w:r>
              <w:rPr>
                <w:rFonts w:ascii="Arial" w:hAnsi="Arial" w:eastAsia="Arial" w:cs="Arial"/>
                <w:sz w:val="20"/>
                <w:szCs w:val="20"/>
              </w:rPr>
              <w:t>Declaration of John Manning</w:t>
            </w:r>
          </w:p>
        </w:tc>
      </w:tr>
      <w:tr w14:paraId="1A24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63815F">
            <w:r>
              <w:rPr>
                <w:rFonts w:ascii="Arial" w:hAnsi="Arial" w:eastAsia="Arial" w:cs="Arial"/>
                <w:b/>
                <w:bCs/>
                <w:sz w:val="20"/>
                <w:szCs w:val="20"/>
              </w:rPr>
              <w:t>Purported Nature:</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8D4CC9">
            <w:r>
              <w:rPr>
                <w:rFonts w:ascii="Arial" w:hAnsi="Arial" w:eastAsia="Arial" w:cs="Arial"/>
                <w:sz w:val="20"/>
                <w:szCs w:val="20"/>
              </w:rPr>
              <w:t>Transcription of audio telephone conversation</w:t>
            </w:r>
          </w:p>
        </w:tc>
      </w:tr>
      <w:tr w14:paraId="294E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FF3CD"/>
            <w:tcMar>
              <w:top w:w="60" w:type="dxa"/>
              <w:left w:w="100" w:type="dxa"/>
              <w:bottom w:w="60" w:type="dxa"/>
              <w:right w:w="100" w:type="dxa"/>
            </w:tcMar>
          </w:tcPr>
          <w:p w14:paraId="1643E201">
            <w:r>
              <w:rPr>
                <w:rFonts w:ascii="Arial" w:hAnsi="Arial" w:eastAsia="Arial" w:cs="Arial"/>
                <w:b/>
                <w:bCs/>
                <w:sz w:val="20"/>
                <w:szCs w:val="20"/>
              </w:rPr>
              <w:t>Actual Nature:</w:t>
            </w:r>
          </w:p>
        </w:tc>
        <w:tc>
          <w:tcPr>
            <w:tcW w:w="6848" w:type="dxa"/>
            <w:tcBorders>
              <w:top w:val="single" w:color="999999" w:sz="0" w:space="0"/>
              <w:left w:val="single" w:color="999999" w:sz="0" w:space="0"/>
              <w:bottom w:val="single" w:color="999999" w:sz="0" w:space="0"/>
              <w:right w:val="single" w:color="999999" w:sz="0" w:space="0"/>
            </w:tcBorders>
            <w:shd w:val="clear" w:color="auto" w:fill="FFF3CD"/>
            <w:tcMar>
              <w:top w:w="60" w:type="dxa"/>
              <w:left w:w="100" w:type="dxa"/>
              <w:bottom w:w="60" w:type="dxa"/>
              <w:right w:w="100" w:type="dxa"/>
            </w:tcMar>
          </w:tcPr>
          <w:p w14:paraId="2C562BE6">
            <w:r>
              <w:rPr>
                <w:rFonts w:ascii="Arial" w:hAnsi="Arial" w:eastAsia="Arial" w:cs="Arial"/>
                <w:b/>
                <w:bCs/>
                <w:color w:val="C0392B"/>
                <w:sz w:val="20"/>
                <w:szCs w:val="20"/>
              </w:rPr>
              <w:t>Email containing intercepted Yahoo Messenger text chat log</w:t>
            </w:r>
          </w:p>
        </w:tc>
      </w:tr>
      <w:tr w14:paraId="2023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CF89060">
            <w:r>
              <w:rPr>
                <w:rFonts w:ascii="Arial" w:hAnsi="Arial" w:eastAsia="Arial" w:cs="Arial"/>
                <w:b/>
                <w:bCs/>
                <w:sz w:val="20"/>
                <w:szCs w:val="20"/>
              </w:rPr>
              <w:t>Email Header — From:</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36C845">
            <w:r>
              <w:rPr>
                <w:rFonts w:ascii="Arial" w:hAnsi="Arial" w:eastAsia="Arial" w:cs="Arial"/>
                <w:sz w:val="20"/>
                <w:szCs w:val="20"/>
              </w:rPr>
              <w:t>John Manning [adubbsworld@hotmail.com]</w:t>
            </w:r>
          </w:p>
        </w:tc>
      </w:tr>
      <w:tr w14:paraId="5995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DBFEC6">
            <w:r>
              <w:rPr>
                <w:rFonts w:ascii="Arial" w:hAnsi="Arial" w:eastAsia="Arial" w:cs="Arial"/>
                <w:b/>
                <w:bCs/>
                <w:sz w:val="20"/>
                <w:szCs w:val="20"/>
              </w:rPr>
              <w:t>Email Header — Sent:</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218C71">
            <w:r>
              <w:rPr>
                <w:rFonts w:ascii="Arial" w:hAnsi="Arial" w:eastAsia="Arial" w:cs="Arial"/>
                <w:sz w:val="20"/>
                <w:szCs w:val="20"/>
              </w:rPr>
              <w:t>Monday, June 02, 2008 12:10 PM</w:t>
            </w:r>
          </w:p>
        </w:tc>
      </w:tr>
      <w:tr w14:paraId="3474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DC0951">
            <w:r>
              <w:rPr>
                <w:rFonts w:ascii="Arial" w:hAnsi="Arial" w:eastAsia="Arial" w:cs="Arial"/>
                <w:b/>
                <w:bCs/>
                <w:sz w:val="20"/>
                <w:szCs w:val="20"/>
              </w:rPr>
              <w:t>Email Header — To:</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F5D2EB">
            <w:r>
              <w:rPr>
                <w:rFonts w:ascii="Arial" w:hAnsi="Arial" w:eastAsia="Arial" w:cs="Arial"/>
                <w:sz w:val="20"/>
                <w:szCs w:val="20"/>
              </w:rPr>
              <w:t>‘Melvina’ (Melvina Manning, Defendant)</w:t>
            </w:r>
          </w:p>
        </w:tc>
      </w:tr>
      <w:tr w14:paraId="35E1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9AAA214">
            <w:r>
              <w:rPr>
                <w:rFonts w:ascii="Arial" w:hAnsi="Arial" w:eastAsia="Arial" w:cs="Arial"/>
                <w:b/>
                <w:bCs/>
                <w:sz w:val="20"/>
                <w:szCs w:val="20"/>
              </w:rPr>
              <w:t>Email Header — Subject:</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BA3683">
            <w:r>
              <w:rPr>
                <w:rFonts w:ascii="Arial" w:hAnsi="Arial" w:eastAsia="Arial" w:cs="Arial"/>
                <w:sz w:val="20"/>
                <w:szCs w:val="20"/>
              </w:rPr>
              <w:t>Zack</w:t>
            </w:r>
          </w:p>
        </w:tc>
      </w:tr>
      <w:tr w14:paraId="4A02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ED694F">
            <w:r>
              <w:rPr>
                <w:rFonts w:ascii="Arial" w:hAnsi="Arial" w:eastAsia="Arial" w:cs="Arial"/>
                <w:b/>
                <w:bCs/>
                <w:sz w:val="20"/>
                <w:szCs w:val="20"/>
              </w:rPr>
              <w:t>Participants:</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B4A9C0">
            <w:r>
              <w:rPr>
                <w:rFonts w:ascii="Arial" w:hAnsi="Arial" w:eastAsia="Arial" w:cs="Arial"/>
                <w:sz w:val="20"/>
                <w:szCs w:val="20"/>
              </w:rPr>
              <w:t>“Magik” and “Princess Kelly” (Yahoo Messenger screen names)</w:t>
            </w:r>
          </w:p>
        </w:tc>
      </w:tr>
      <w:tr w14:paraId="3552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FE2727">
            <w:r>
              <w:rPr>
                <w:rFonts w:ascii="Arial" w:hAnsi="Arial" w:eastAsia="Arial" w:cs="Arial"/>
                <w:b/>
                <w:bCs/>
                <w:sz w:val="20"/>
                <w:szCs w:val="20"/>
              </w:rPr>
              <w:t>Total Pages:</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47E1D3">
            <w:r>
              <w:rPr>
                <w:rFonts w:ascii="Arial" w:hAnsi="Arial" w:eastAsia="Arial" w:cs="Arial"/>
                <w:sz w:val="20"/>
                <w:szCs w:val="20"/>
              </w:rPr>
              <w:t>7 pages (as submitted to court)</w:t>
            </w:r>
          </w:p>
        </w:tc>
      </w:tr>
      <w:tr w14:paraId="5C82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C1608F">
            <w:r>
              <w:rPr>
                <w:rFonts w:ascii="Arial" w:hAnsi="Arial" w:eastAsia="Arial" w:cs="Arial"/>
                <w:b/>
                <w:bCs/>
                <w:sz w:val="20"/>
                <w:szCs w:val="20"/>
              </w:rPr>
              <w:t>Court Record Location:</w:t>
            </w:r>
          </w:p>
        </w:tc>
        <w:tc>
          <w:tcPr>
            <w:tcW w:w="68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983BF5">
            <w:r>
              <w:rPr>
                <w:rFonts w:ascii="Arial" w:hAnsi="Arial" w:eastAsia="Arial" w:cs="Arial"/>
                <w:sz w:val="20"/>
                <w:szCs w:val="20"/>
              </w:rPr>
              <w:t>CP at page 87 (Clerk’s Papers)</w:t>
            </w:r>
          </w:p>
        </w:tc>
      </w:tr>
    </w:tbl>
    <w:p w14:paraId="6768E1F1">
      <w:pPr>
        <w:pStyle w:val="2"/>
        <w:spacing w:before="300" w:after="120"/>
      </w:pPr>
      <w:r>
        <w:rPr>
          <w:rFonts w:ascii="Arial" w:hAnsi="Arial" w:eastAsia="Arial" w:cs="Arial"/>
          <w:b/>
          <w:bCs/>
          <w:sz w:val="28"/>
          <w:szCs w:val="28"/>
        </w:rPr>
        <w:t>II. EXECUTIVE SUMMARY</w:t>
      </w:r>
    </w:p>
    <w:p w14:paraId="6F48F083">
      <w:pPr>
        <w:spacing w:after="120"/>
        <w:jc w:val="left"/>
      </w:pPr>
      <w:r>
        <w:rPr>
          <w:rFonts w:ascii="Arial" w:hAnsi="Arial" w:eastAsia="Arial" w:cs="Arial"/>
          <w:sz w:val="22"/>
          <w:szCs w:val="22"/>
        </w:rPr>
        <w:t>This analysis examines a document submitted to King County Superior Court as the “Declaration of John Manning” in support of Defendant Melvina Manning’s Motion for Summary Judgment. The document was presented to the court as a transcription of an audio telephone conversation. Forensic examination reveals it is, in fact, a manually edited email containing portions of an intercepted Yahoo Messenger instant message (text-based) conversation that has been rearranged through copy-and-paste editing.</w:t>
      </w:r>
    </w:p>
    <w:p w14:paraId="5832A965">
      <w:pPr>
        <w:spacing w:after="120"/>
      </w:pPr>
      <w:r>
        <w:rPr>
          <w:rFonts w:ascii="Arial" w:hAnsi="Arial" w:eastAsia="Arial" w:cs="Arial"/>
          <w:b/>
          <w:bCs/>
          <w:color w:val="C0392B"/>
          <w:sz w:val="22"/>
          <w:szCs w:val="22"/>
        </w:rPr>
        <w:t xml:space="preserve">Key Finding: </w:t>
      </w:r>
      <w:r>
        <w:rPr>
          <w:rFonts w:ascii="Arial" w:hAnsi="Arial" w:eastAsia="Arial" w:cs="Arial"/>
          <w:sz w:val="22"/>
          <w:szCs w:val="22"/>
        </w:rPr>
        <w:t xml:space="preserve">The document contains </w:t>
      </w:r>
      <w:r>
        <w:rPr>
          <w:rFonts w:ascii="Arial" w:hAnsi="Arial" w:eastAsia="Arial" w:cs="Arial"/>
          <w:b/>
          <w:bCs/>
          <w:sz w:val="22"/>
          <w:szCs w:val="22"/>
        </w:rPr>
        <w:t>at least two verbatim duplicated text blocks</w:t>
      </w:r>
      <w:r>
        <w:rPr>
          <w:rFonts w:ascii="Arial" w:hAnsi="Arial" w:eastAsia="Arial" w:cs="Arial"/>
          <w:sz w:val="22"/>
          <w:szCs w:val="22"/>
        </w:rPr>
        <w:t xml:space="preserve"> within its pages, text passages that make no logical sense in their current positions, and formatting anomalies consistent with manual rearrangement. Chat logs generated by any legitimate transcription or logging software do not contain duplicated exchanges. The only explanation for verbatim duplication is manual copy-and-paste editing — i.e., fabrication.</w:t>
      </w:r>
    </w:p>
    <w:p w14:paraId="05AA7F9E">
      <w:pPr>
        <w:pStyle w:val="2"/>
        <w:spacing w:before="300" w:after="120"/>
      </w:pPr>
      <w:r>
        <w:rPr>
          <w:rFonts w:ascii="Arial" w:hAnsi="Arial" w:eastAsia="Arial" w:cs="Arial"/>
          <w:b/>
          <w:bCs/>
          <w:sz w:val="28"/>
          <w:szCs w:val="28"/>
        </w:rPr>
        <w:t>III. THRESHOLD FINDING: THIS IS NOT AN AUDIO TRANSCRIPTION</w:t>
      </w:r>
    </w:p>
    <w:p w14:paraId="31176B6C">
      <w:pPr>
        <w:spacing w:after="120"/>
        <w:jc w:val="left"/>
      </w:pPr>
      <w:r>
        <w:rPr>
          <w:rFonts w:ascii="Arial" w:hAnsi="Arial" w:eastAsia="Arial" w:cs="Arial"/>
          <w:sz w:val="22"/>
          <w:szCs w:val="22"/>
        </w:rPr>
        <w:t>Before analyzing the copy-and-paste anomalies, it is critical to establish that the fundamental premise of this document — that it records a telephone (audio) conversation — is false on its face.</w:t>
      </w:r>
    </w:p>
    <w:p w14:paraId="56577C54">
      <w:pPr>
        <w:pStyle w:val="3"/>
        <w:spacing w:before="300" w:after="120"/>
      </w:pPr>
      <w:r>
        <w:rPr>
          <w:rFonts w:ascii="Arial" w:hAnsi="Arial" w:eastAsia="Arial" w:cs="Arial"/>
          <w:b/>
          <w:bCs/>
          <w:sz w:val="24"/>
          <w:szCs w:val="24"/>
        </w:rPr>
        <w:t>A. Screen Names Prove Text-Based Chat</w:t>
      </w:r>
    </w:p>
    <w:p w14:paraId="1D79D7D8">
      <w:pPr>
        <w:spacing w:after="120"/>
        <w:jc w:val="left"/>
      </w:pPr>
      <w:r>
        <w:rPr>
          <w:rFonts w:ascii="Arial" w:hAnsi="Arial" w:eastAsia="Arial" w:cs="Arial"/>
          <w:sz w:val="22"/>
          <w:szCs w:val="22"/>
        </w:rPr>
        <w:t>The document identifies its participants as “Magik says:” and “Princess Kelly says:” throughout. These are screen names — user-chosen aliases used on instant messaging platforms. Yahoo Messenger, one of the most widely used instant messaging services in 2008, used exactly this format for text-based chat logs:</w:t>
      </w:r>
    </w:p>
    <w:p w14:paraId="72D88750">
      <w:pPr>
        <w:spacing w:after="120"/>
        <w:ind w:left="720"/>
      </w:pPr>
      <w:r>
        <w:rPr>
          <w:rFonts w:ascii="Arial" w:hAnsi="Arial" w:eastAsia="Arial" w:cs="Arial"/>
          <w:i/>
          <w:iCs/>
          <w:sz w:val="22"/>
          <w:szCs w:val="22"/>
        </w:rPr>
        <w:t>[Screen Name] says:</w:t>
      </w:r>
      <w:r>
        <w:rPr>
          <w:rFonts w:ascii="Arial" w:hAnsi="Arial" w:eastAsia="Arial" w:cs="Arial"/>
          <w:sz w:val="22"/>
          <w:szCs w:val="22"/>
        </w:rPr>
        <w:t xml:space="preserve"> followed by the text message.</w:t>
      </w:r>
    </w:p>
    <w:p w14:paraId="0FBCCA7B">
      <w:pPr>
        <w:spacing w:after="120"/>
        <w:jc w:val="left"/>
      </w:pPr>
      <w:r>
        <w:rPr>
          <w:rFonts w:ascii="Arial" w:hAnsi="Arial" w:eastAsia="Arial" w:cs="Arial"/>
          <w:sz w:val="22"/>
          <w:szCs w:val="22"/>
        </w:rPr>
        <w:t>Audio telephone calls do not have screen names. Telephone transcriptions identify speakers by name, not by internet handles. The presence of “Magik” and “Princess Kelly” as speaker identifiers conclusively establishes this was a Yahoo Messenger text conversation, not an audio call.</w:t>
      </w:r>
    </w:p>
    <w:p w14:paraId="1647E11C">
      <w:pPr>
        <w:pStyle w:val="3"/>
        <w:spacing w:before="300" w:after="120"/>
      </w:pPr>
      <w:r>
        <w:rPr>
          <w:rFonts w:ascii="Arial" w:hAnsi="Arial" w:eastAsia="Arial" w:cs="Arial"/>
          <w:b/>
          <w:bCs/>
          <w:sz w:val="24"/>
          <w:szCs w:val="24"/>
        </w:rPr>
        <w:t>B. The Document Is an Email, Not an Attachment</w:t>
      </w:r>
    </w:p>
    <w:p w14:paraId="315DEE03">
      <w:pPr>
        <w:spacing w:after="120"/>
        <w:jc w:val="left"/>
      </w:pPr>
      <w:r>
        <w:rPr>
          <w:rFonts w:ascii="Arial" w:hAnsi="Arial" w:eastAsia="Arial" w:cs="Arial"/>
          <w:sz w:val="22"/>
          <w:szCs w:val="22"/>
        </w:rPr>
        <w:t>The document’s own header proves its origin:</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8"/>
      </w:tblGrid>
      <w:tr w14:paraId="2CCD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8" w:type="dxa"/>
            <w:tcBorders>
              <w:top w:val="single" w:color="999999" w:sz="0" w:space="0"/>
              <w:left w:val="single" w:color="999999" w:sz="0" w:space="0"/>
              <w:bottom w:val="single" w:color="999999" w:sz="0" w:space="0"/>
              <w:right w:val="single" w:color="999999" w:sz="0" w:space="0"/>
            </w:tcBorders>
            <w:shd w:val="clear" w:color="auto" w:fill="F5F5F5"/>
            <w:tcMar>
              <w:top w:w="100" w:type="dxa"/>
              <w:left w:w="200" w:type="dxa"/>
              <w:bottom w:w="100" w:type="dxa"/>
              <w:right w:w="200" w:type="dxa"/>
            </w:tcMar>
          </w:tcPr>
          <w:p w14:paraId="636FF7DD">
            <w:pPr>
              <w:spacing w:after="40"/>
            </w:pPr>
            <w:r>
              <w:rPr>
                <w:rFonts w:ascii="Courier New" w:hAnsi="Courier New" w:eastAsia="Courier New" w:cs="Courier New"/>
                <w:b/>
                <w:bCs/>
                <w:sz w:val="20"/>
                <w:szCs w:val="20"/>
              </w:rPr>
              <w:t xml:space="preserve">From:       </w:t>
            </w:r>
            <w:r>
              <w:rPr>
                <w:rFonts w:ascii="Courier New" w:hAnsi="Courier New" w:eastAsia="Courier New" w:cs="Courier New"/>
                <w:sz w:val="20"/>
                <w:szCs w:val="20"/>
              </w:rPr>
              <w:t>John Manning [adubbsworld@hotmail.com]</w:t>
            </w:r>
          </w:p>
          <w:p w14:paraId="768928E5">
            <w:pPr>
              <w:spacing w:after="40"/>
            </w:pPr>
            <w:r>
              <w:rPr>
                <w:rFonts w:ascii="Courier New" w:hAnsi="Courier New" w:eastAsia="Courier New" w:cs="Courier New"/>
                <w:b/>
                <w:bCs/>
                <w:sz w:val="20"/>
                <w:szCs w:val="20"/>
              </w:rPr>
              <w:t xml:space="preserve">Sent:       </w:t>
            </w:r>
            <w:r>
              <w:rPr>
                <w:rFonts w:ascii="Courier New" w:hAnsi="Courier New" w:eastAsia="Courier New" w:cs="Courier New"/>
                <w:sz w:val="20"/>
                <w:szCs w:val="20"/>
              </w:rPr>
              <w:t>Monday, June 02, 2008 12:10 PM</w:t>
            </w:r>
          </w:p>
          <w:p w14:paraId="1E28C536">
            <w:pPr>
              <w:spacing w:after="40"/>
            </w:pPr>
            <w:r>
              <w:rPr>
                <w:rFonts w:ascii="Courier New" w:hAnsi="Courier New" w:eastAsia="Courier New" w:cs="Courier New"/>
                <w:b/>
                <w:bCs/>
                <w:sz w:val="20"/>
                <w:szCs w:val="20"/>
              </w:rPr>
              <w:t xml:space="preserve">To:         </w:t>
            </w:r>
            <w:r>
              <w:rPr>
                <w:rFonts w:ascii="Courier New" w:hAnsi="Courier New" w:eastAsia="Courier New" w:cs="Courier New"/>
                <w:sz w:val="20"/>
                <w:szCs w:val="20"/>
              </w:rPr>
              <w:t>'Melvina'</w:t>
            </w:r>
          </w:p>
          <w:p w14:paraId="79354472">
            <w:pPr>
              <w:spacing w:after="0"/>
            </w:pPr>
            <w:r>
              <w:rPr>
                <w:rFonts w:ascii="Courier New" w:hAnsi="Courier New" w:eastAsia="Courier New" w:cs="Courier New"/>
                <w:b/>
                <w:bCs/>
                <w:sz w:val="20"/>
                <w:szCs w:val="20"/>
              </w:rPr>
              <w:t xml:space="preserve">Subject:    </w:t>
            </w:r>
            <w:r>
              <w:rPr>
                <w:rFonts w:ascii="Courier New" w:hAnsi="Courier New" w:eastAsia="Courier New" w:cs="Courier New"/>
                <w:sz w:val="20"/>
                <w:szCs w:val="20"/>
              </w:rPr>
              <w:t>Zack</w:t>
            </w:r>
          </w:p>
        </w:tc>
      </w:tr>
    </w:tbl>
    <w:p w14:paraId="21FED021">
      <w:pPr>
        <w:spacing w:after="120"/>
        <w:jc w:val="left"/>
      </w:pPr>
      <w:r>
        <w:rPr>
          <w:rFonts w:ascii="Arial" w:hAnsi="Arial" w:eastAsia="Arial" w:cs="Arial"/>
          <w:sz w:val="22"/>
          <w:szCs w:val="22"/>
        </w:rPr>
        <w:t>This header is a standard Microsoft Outlook email header. The chat content was pasted into the body of an email sent by John Manning to Melvina Manning. It was not generated by a separate transcription program or recording device. John Manning manually typed or copy-pasted the chat content into an email.</w:t>
      </w:r>
    </w:p>
    <w:p w14:paraId="5B954655">
      <w:pPr>
        <w:pStyle w:val="3"/>
        <w:spacing w:before="300" w:after="120"/>
      </w:pPr>
      <w:r>
        <w:rPr>
          <w:rFonts w:ascii="Arial" w:hAnsi="Arial" w:eastAsia="Arial" w:cs="Arial"/>
          <w:b/>
          <w:bCs/>
          <w:sz w:val="24"/>
          <w:szCs w:val="24"/>
        </w:rPr>
        <w:t>C. Interception Method</w:t>
      </w:r>
    </w:p>
    <w:p w14:paraId="026DC371">
      <w:pPr>
        <w:spacing w:after="120"/>
        <w:jc w:val="left"/>
      </w:pPr>
      <w:r>
        <w:rPr>
          <w:rFonts w:ascii="Arial" w:hAnsi="Arial" w:eastAsia="Arial" w:cs="Arial"/>
          <w:sz w:val="22"/>
          <w:szCs w:val="22"/>
        </w:rPr>
        <w:t>The document originated from John Manning’s personal email account, sent days after the alleged conversation took place. The chat content between “Magik” (believed to be Zack Bennett) and “Princess Kelly” (believed to be Kelly Jovanovich) was intercepted without the participants’ knowledge or consent. The interception method is consistent with spyware programs available in 2008 (e.g., FlexiSPY, SpyAgent, StealthGenie) that could capture instant messenger conversations and export them for review. This constitutes a violation of RCW 9.73.030(1), Washington’s wiretap statute.</w:t>
      </w:r>
    </w:p>
    <w:p w14:paraId="0CFE9E82">
      <w:r>
        <w:br w:type="page"/>
      </w:r>
    </w:p>
    <w:p w14:paraId="68509493">
      <w:pPr>
        <w:pStyle w:val="2"/>
        <w:spacing w:before="300" w:after="120"/>
      </w:pPr>
      <w:r>
        <w:rPr>
          <w:rFonts w:ascii="Arial" w:hAnsi="Arial" w:eastAsia="Arial" w:cs="Arial"/>
          <w:b/>
          <w:bCs/>
          <w:sz w:val="28"/>
          <w:szCs w:val="28"/>
        </w:rPr>
        <w:t>IV. COPY-AND-PASTE DUPLICATIONS</w:t>
      </w:r>
    </w:p>
    <w:p w14:paraId="4392A9F4">
      <w:pPr>
        <w:spacing w:after="120"/>
      </w:pPr>
      <w:r>
        <w:rPr>
          <w:rFonts w:ascii="Arial" w:hAnsi="Arial" w:eastAsia="Arial" w:cs="Arial"/>
          <w:sz w:val="22"/>
          <w:szCs w:val="22"/>
        </w:rPr>
        <w:t xml:space="preserve">The most damning evidence of fabrication is the presence of </w:t>
      </w:r>
      <w:r>
        <w:rPr>
          <w:rFonts w:ascii="Arial" w:hAnsi="Arial" w:eastAsia="Arial" w:cs="Arial"/>
          <w:b/>
          <w:bCs/>
          <w:sz w:val="22"/>
          <w:szCs w:val="22"/>
        </w:rPr>
        <w:t>verbatim duplicated text blocks</w:t>
      </w:r>
      <w:r>
        <w:rPr>
          <w:rFonts w:ascii="Arial" w:hAnsi="Arial" w:eastAsia="Arial" w:cs="Arial"/>
          <w:sz w:val="22"/>
          <w:szCs w:val="22"/>
        </w:rPr>
        <w:t>. A genuine chat log — whether generated by Yahoo Messenger, a spyware capture tool, or any other automated system — records each message exactly once in chronological order. Verbatim duplication of entire exchanges can only occur through manual copy-and-paste editing.</w:t>
      </w:r>
    </w:p>
    <w:p w14:paraId="786FB95B">
      <w:pPr>
        <w:pStyle w:val="3"/>
        <w:spacing w:before="300" w:after="120"/>
      </w:pPr>
      <w:r>
        <w:rPr>
          <w:rFonts w:ascii="Arial" w:hAnsi="Arial" w:eastAsia="Arial" w:cs="Arial"/>
          <w:b/>
          <w:bCs/>
          <w:sz w:val="24"/>
          <w:szCs w:val="24"/>
        </w:rPr>
        <w:t>A. Duplication #1: The “Devious” Block</w:t>
      </w:r>
    </w:p>
    <w:p w14:paraId="77BE115F">
      <w:pPr>
        <w:spacing w:after="120"/>
      </w:pPr>
      <w:r>
        <w:rPr>
          <w:rFonts w:ascii="Arial" w:hAnsi="Arial" w:eastAsia="Arial" w:cs="Arial"/>
          <w:b/>
          <w:bCs/>
          <w:sz w:val="22"/>
          <w:szCs w:val="22"/>
        </w:rPr>
        <w:t xml:space="preserve">Location: </w:t>
      </w:r>
      <w:r>
        <w:rPr>
          <w:rFonts w:ascii="Arial" w:hAnsi="Arial" w:eastAsia="Arial" w:cs="Arial"/>
          <w:sz w:val="22"/>
          <w:szCs w:val="22"/>
        </w:rPr>
        <w:t>Page 1, appears twice — at the top of the page and again in the middle of the page.</w:t>
      </w:r>
    </w:p>
    <w:p w14:paraId="03CC34A4">
      <w:pPr>
        <w:spacing w:after="120"/>
      </w:pPr>
      <w:r>
        <w:rPr>
          <w:rFonts w:ascii="Arial" w:hAnsi="Arial" w:eastAsia="Arial" w:cs="Arial"/>
          <w:b/>
          <w:bCs/>
          <w:color w:val="C0392B"/>
          <w:sz w:val="22"/>
          <w:szCs w:val="22"/>
        </w:rPr>
        <w:t>Duplicated Text (verbatim match):</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24"/>
        <w:gridCol w:w="4924"/>
      </w:tblGrid>
      <w:tr w14:paraId="697B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3CDBF26">
            <w:r>
              <w:rPr>
                <w:rFonts w:ascii="Arial" w:hAnsi="Arial" w:eastAsia="Arial" w:cs="Arial"/>
                <w:b/>
                <w:bCs/>
                <w:color w:val="FFFFFF"/>
                <w:sz w:val="20"/>
                <w:szCs w:val="20"/>
              </w:rPr>
              <w:t>FIRST OCCURRENCE (top of p.1)</w:t>
            </w:r>
          </w:p>
        </w:tc>
        <w:tc>
          <w:tcPr>
            <w:tcW w:w="49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261C644">
            <w:r>
              <w:rPr>
                <w:rFonts w:ascii="Arial" w:hAnsi="Arial" w:eastAsia="Arial" w:cs="Arial"/>
                <w:b/>
                <w:bCs/>
                <w:color w:val="FFFFFF"/>
                <w:sz w:val="20"/>
                <w:szCs w:val="20"/>
              </w:rPr>
              <w:t>SECOND OCCURRENCE (mid p.1)</w:t>
            </w:r>
          </w:p>
        </w:tc>
      </w:tr>
      <w:tr w14:paraId="1E77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24" w:type="dxa"/>
            <w:tcBorders>
              <w:top w:val="single" w:color="999999" w:sz="0" w:space="0"/>
              <w:left w:val="single" w:color="999999" w:sz="0" w:space="0"/>
              <w:bottom w:val="single" w:color="999999" w:sz="0" w:space="0"/>
              <w:right w:val="single" w:color="999999" w:sz="0" w:space="0"/>
            </w:tcBorders>
            <w:shd w:val="clear" w:color="auto" w:fill="FDEDEC"/>
            <w:tcMar>
              <w:top w:w="60" w:type="dxa"/>
              <w:left w:w="100" w:type="dxa"/>
              <w:bottom w:w="60" w:type="dxa"/>
              <w:right w:w="100" w:type="dxa"/>
            </w:tcMar>
          </w:tcPr>
          <w:p w14:paraId="7FB00222">
            <w:pPr>
              <w:spacing w:after="60"/>
            </w:pPr>
            <w:r>
              <w:rPr>
                <w:rFonts w:ascii="Arial" w:hAnsi="Arial" w:eastAsia="Arial" w:cs="Arial"/>
                <w:b/>
                <w:bCs/>
                <w:sz w:val="20"/>
                <w:szCs w:val="20"/>
              </w:rPr>
              <w:t>Magik says:</w:t>
            </w:r>
          </w:p>
          <w:p w14:paraId="3299CF49">
            <w:pPr>
              <w:spacing w:after="60"/>
            </w:pPr>
          </w:p>
          <w:p w14:paraId="26DDD361">
            <w:pPr>
              <w:spacing w:after="60"/>
            </w:pPr>
            <w:r>
              <w:rPr>
                <w:rFonts w:ascii="Arial" w:hAnsi="Arial" w:eastAsia="Arial" w:cs="Arial"/>
                <w:b/>
                <w:bCs/>
                <w:sz w:val="20"/>
                <w:szCs w:val="20"/>
              </w:rPr>
              <w:t>Magik says:</w:t>
            </w:r>
          </w:p>
          <w:p w14:paraId="33AEA772">
            <w:pPr>
              <w:spacing w:after="60"/>
            </w:pPr>
          </w:p>
          <w:p w14:paraId="2F96FFED">
            <w:pPr>
              <w:spacing w:after="60"/>
            </w:pPr>
            <w:r>
              <w:rPr>
                <w:rFonts w:ascii="Arial" w:hAnsi="Arial" w:eastAsia="Arial" w:cs="Arial"/>
                <w:b/>
                <w:bCs/>
                <w:sz w:val="20"/>
                <w:szCs w:val="20"/>
              </w:rPr>
              <w:t>Magik says:</w:t>
            </w:r>
          </w:p>
          <w:p w14:paraId="512620C0">
            <w:pPr>
              <w:spacing w:after="60"/>
            </w:pPr>
          </w:p>
        </w:tc>
        <w:tc>
          <w:tcPr>
            <w:tcW w:w="4924" w:type="dxa"/>
            <w:tcBorders>
              <w:top w:val="single" w:color="999999" w:sz="0" w:space="0"/>
              <w:left w:val="single" w:color="999999" w:sz="0" w:space="0"/>
              <w:bottom w:val="single" w:color="999999" w:sz="0" w:space="0"/>
              <w:right w:val="single" w:color="999999" w:sz="0" w:space="0"/>
            </w:tcBorders>
            <w:shd w:val="clear" w:color="auto" w:fill="FDEDEC"/>
            <w:tcMar>
              <w:top w:w="60" w:type="dxa"/>
              <w:left w:w="100" w:type="dxa"/>
              <w:bottom w:w="60" w:type="dxa"/>
              <w:right w:w="100" w:type="dxa"/>
            </w:tcMar>
          </w:tcPr>
          <w:p w14:paraId="17203C48">
            <w:pPr>
              <w:spacing w:after="60"/>
            </w:pPr>
            <w:r>
              <w:rPr>
                <w:rFonts w:ascii="Arial" w:hAnsi="Arial" w:eastAsia="Arial" w:cs="Arial"/>
                <w:b/>
                <w:bCs/>
                <w:sz w:val="20"/>
                <w:szCs w:val="20"/>
              </w:rPr>
              <w:t>Magik says:</w:t>
            </w:r>
          </w:p>
          <w:p w14:paraId="174CB97B">
            <w:pPr>
              <w:spacing w:after="60"/>
            </w:pPr>
          </w:p>
          <w:p w14:paraId="44DB8950">
            <w:pPr>
              <w:spacing w:after="60"/>
            </w:pPr>
            <w:r>
              <w:rPr>
                <w:rFonts w:ascii="Arial" w:hAnsi="Arial" w:eastAsia="Arial" w:cs="Arial"/>
                <w:b/>
                <w:bCs/>
                <w:sz w:val="20"/>
                <w:szCs w:val="20"/>
              </w:rPr>
              <w:t>Magik says:</w:t>
            </w:r>
          </w:p>
          <w:p w14:paraId="2A5D37A7">
            <w:pPr>
              <w:spacing w:after="60"/>
            </w:pPr>
          </w:p>
          <w:p w14:paraId="58C5FBC3">
            <w:pPr>
              <w:spacing w:after="60"/>
            </w:pPr>
            <w:r>
              <w:rPr>
                <w:rFonts w:ascii="Arial" w:hAnsi="Arial" w:eastAsia="Arial" w:cs="Arial"/>
                <w:b/>
                <w:bCs/>
                <w:sz w:val="20"/>
                <w:szCs w:val="20"/>
              </w:rPr>
              <w:t>Magik says:</w:t>
            </w:r>
          </w:p>
          <w:p w14:paraId="2D5FAFED">
            <w:pPr>
              <w:spacing w:after="60"/>
            </w:pPr>
          </w:p>
        </w:tc>
      </w:tr>
    </w:tbl>
    <w:p w14:paraId="2B6B498C">
      <w:pPr>
        <w:spacing w:after="120"/>
        <w:jc w:val="left"/>
      </w:pPr>
      <w:r>
        <w:rPr>
          <w:rFonts w:ascii="Arial" w:hAnsi="Arial" w:eastAsia="Arial" w:cs="Arial"/>
          <w:sz w:val="22"/>
          <w:szCs w:val="22"/>
        </w:rPr>
        <w:t>This three-line exchange from “Magik” appears in identical form twice on the same page. In a real chat log, each message is transmitted once and recorded once. There is no technical mechanism by which a chat program would record the same exchange twice. The only explanation is that someone manually copied this block and pasted it into a second location within the document.</w:t>
      </w:r>
    </w:p>
    <w:p w14:paraId="4782F7DD">
      <w:pPr>
        <w:pStyle w:val="3"/>
        <w:spacing w:before="300" w:after="120"/>
      </w:pPr>
      <w:r>
        <w:rPr>
          <w:rFonts w:ascii="Arial" w:hAnsi="Arial" w:eastAsia="Arial" w:cs="Arial"/>
          <w:b/>
          <w:bCs/>
          <w:sz w:val="24"/>
          <w:szCs w:val="24"/>
        </w:rPr>
        <w:t>B. Duplication #2: Cross-Page Repetition</w:t>
      </w:r>
    </w:p>
    <w:p w14:paraId="75FFC700">
      <w:pPr>
        <w:spacing w:after="120"/>
      </w:pPr>
      <w:r>
        <w:rPr>
          <w:rFonts w:ascii="Arial" w:hAnsi="Arial" w:eastAsia="Arial" w:cs="Arial"/>
          <w:b/>
          <w:bCs/>
          <w:sz w:val="22"/>
          <w:szCs w:val="22"/>
        </w:rPr>
        <w:t xml:space="preserve">Location: </w:t>
      </w:r>
      <w:r>
        <w:rPr>
          <w:rFonts w:ascii="Arial" w:hAnsi="Arial" w:eastAsia="Arial" w:cs="Arial"/>
          <w:sz w:val="22"/>
          <w:szCs w:val="22"/>
        </w:rPr>
        <w:t>First occurrence on Page 1, second paragraph. Second occurrence spanning the last six lines of Page 2 through the first two lines of Page 3.</w:t>
      </w:r>
    </w:p>
    <w:p w14:paraId="4432CB4D">
      <w:pPr>
        <w:spacing w:after="120"/>
        <w:jc w:val="left"/>
      </w:pPr>
      <w:r>
        <w:rPr>
          <w:rFonts w:ascii="Arial" w:hAnsi="Arial" w:eastAsia="Arial" w:cs="Arial"/>
          <w:sz w:val="22"/>
          <w:szCs w:val="22"/>
        </w:rPr>
        <w:t>As identified in Plaintiff’s prior filings (CP at Reply to Respondent’s Opposition, p.7): the second paragraph on page 1 is an exact match with the passage running from the last six lines of page 2 through the first two lines of page 3. This is a second instance of verbatim copy-and-paste duplication, this time spanning across pages.</w:t>
      </w:r>
    </w:p>
    <w:p w14:paraId="4369A4B4">
      <w:pPr>
        <w:spacing w:after="120"/>
      </w:pPr>
      <w:r>
        <w:rPr>
          <w:rFonts w:ascii="Arial" w:hAnsi="Arial" w:eastAsia="Arial" w:cs="Arial"/>
          <w:b/>
          <w:bCs/>
          <w:sz w:val="22"/>
          <w:szCs w:val="22"/>
        </w:rPr>
        <w:t xml:space="preserve">Significance: </w:t>
      </w:r>
      <w:r>
        <w:rPr>
          <w:rFonts w:ascii="Arial" w:hAnsi="Arial" w:eastAsia="Arial" w:cs="Arial"/>
          <w:sz w:val="22"/>
          <w:szCs w:val="22"/>
        </w:rPr>
        <w:t>Two separate duplication events confirm this is not a single accidental error. The document was systematically rearranged. Passages were moved, copied, and repositioned to construct a narrative different from the original conversation’s chronological order.</w:t>
      </w:r>
    </w:p>
    <w:p w14:paraId="24876C01">
      <w:pPr>
        <w:pStyle w:val="2"/>
        <w:spacing w:before="300" w:after="120"/>
      </w:pPr>
      <w:r>
        <w:rPr>
          <w:rFonts w:ascii="Arial" w:hAnsi="Arial" w:eastAsia="Arial" w:cs="Arial"/>
          <w:b/>
          <w:bCs/>
          <w:sz w:val="28"/>
          <w:szCs w:val="28"/>
        </w:rPr>
        <w:t>V. CONTEXTUAL AND LOGICAL ANOMALIES</w:t>
      </w:r>
    </w:p>
    <w:p w14:paraId="15D06E1B">
      <w:pPr>
        <w:spacing w:after="120"/>
        <w:jc w:val="left"/>
      </w:pPr>
      <w:r>
        <w:rPr>
          <w:rFonts w:ascii="Arial" w:hAnsi="Arial" w:eastAsia="Arial" w:cs="Arial"/>
          <w:sz w:val="22"/>
          <w:szCs w:val="22"/>
        </w:rPr>
        <w:t>Beyond the verbatim duplications, the document contains passages that make no logical sense in their current positions — a hallmark of content that has been cut from one location and pasted into another without regard for conversational flow.</w:t>
      </w:r>
    </w:p>
    <w:p w14:paraId="1BD9F6BA">
      <w:pPr>
        <w:pStyle w:val="3"/>
        <w:spacing w:before="300" w:after="120"/>
      </w:pPr>
      <w:r>
        <w:rPr>
          <w:rFonts w:ascii="Arial" w:hAnsi="Arial" w:eastAsia="Arial" w:cs="Arial"/>
          <w:b/>
          <w:bCs/>
          <w:sz w:val="24"/>
          <w:szCs w:val="24"/>
        </w:rPr>
        <w:t>A. Tonal Whiplash: Threat Narrative vs. Domestic Chat</w:t>
      </w:r>
    </w:p>
    <w:p w14:paraId="04AD709F">
      <w:pPr>
        <w:spacing w:after="120"/>
        <w:jc w:val="left"/>
      </w:pPr>
      <w:r>
        <w:rPr>
          <w:rFonts w:ascii="Arial" w:hAnsi="Arial" w:eastAsia="Arial" w:cs="Arial"/>
          <w:sz w:val="22"/>
          <w:szCs w:val="22"/>
        </w:rPr>
        <w:t>Pages 1–3 are curated to present an ominous, threatening narrative, with passages about prison, losing a child, and devious behavior. Then, beginning around page 5–6, the conversation abruptly shifts to mundane domestic topics:</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24"/>
        <w:gridCol w:w="4824"/>
      </w:tblGrid>
      <w:tr w14:paraId="249F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83D265A">
            <w:r>
              <w:rPr>
                <w:rFonts w:ascii="Arial" w:hAnsi="Arial" w:eastAsia="Arial" w:cs="Arial"/>
                <w:b/>
                <w:bCs/>
                <w:color w:val="FFFFFF"/>
                <w:sz w:val="20"/>
                <w:szCs w:val="20"/>
              </w:rPr>
              <w:t>PAGES 1–3 (Curated “Threat” Content)</w:t>
            </w:r>
          </w:p>
        </w:tc>
        <w:tc>
          <w:tcPr>
            <w:tcW w:w="48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2B09A1F">
            <w:r>
              <w:rPr>
                <w:rFonts w:ascii="Arial" w:hAnsi="Arial" w:eastAsia="Arial" w:cs="Arial"/>
                <w:b/>
                <w:bCs/>
                <w:color w:val="FFFFFF"/>
                <w:sz w:val="20"/>
                <w:szCs w:val="20"/>
              </w:rPr>
              <w:t>PAGES 5–6 (Unedited Domestic Chat)</w:t>
            </w:r>
          </w:p>
        </w:tc>
      </w:tr>
      <w:tr w14:paraId="59E2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24" w:type="dxa"/>
            <w:tcBorders>
              <w:top w:val="single" w:color="999999" w:sz="0" w:space="0"/>
              <w:left w:val="single" w:color="999999" w:sz="0" w:space="0"/>
              <w:bottom w:val="single" w:color="999999" w:sz="0" w:space="0"/>
              <w:right w:val="single" w:color="999999" w:sz="0" w:space="0"/>
            </w:tcBorders>
            <w:shd w:val="clear" w:color="auto" w:fill="FDEDEC"/>
            <w:tcMar>
              <w:top w:w="60" w:type="dxa"/>
              <w:left w:w="100" w:type="dxa"/>
              <w:bottom w:w="60" w:type="dxa"/>
              <w:right w:w="100" w:type="dxa"/>
            </w:tcMar>
          </w:tcPr>
          <w:p w14:paraId="2536E1E8">
            <w:pPr>
              <w:spacing w:after="60"/>
            </w:pPr>
          </w:p>
          <w:p w14:paraId="3774FCE4">
            <w:pPr>
              <w:spacing w:after="60"/>
            </w:pPr>
          </w:p>
          <w:p w14:paraId="25783074">
            <w:pPr>
              <w:spacing w:after="60"/>
            </w:pPr>
          </w:p>
          <w:p w14:paraId="78CC8C35">
            <w:pPr>
              <w:spacing w:after="60"/>
            </w:pPr>
          </w:p>
          <w:p w14:paraId="7E1CC0A0">
            <w:pPr>
              <w:spacing w:after="60"/>
            </w:pPr>
          </w:p>
        </w:tc>
        <w:tc>
          <w:tcPr>
            <w:tcW w:w="4824" w:type="dxa"/>
            <w:tcBorders>
              <w:top w:val="single" w:color="999999" w:sz="0" w:space="0"/>
              <w:left w:val="single" w:color="999999" w:sz="0" w:space="0"/>
              <w:bottom w:val="single" w:color="999999" w:sz="0" w:space="0"/>
              <w:right w:val="single" w:color="999999" w:sz="0" w:space="0"/>
            </w:tcBorders>
            <w:shd w:val="clear" w:color="auto" w:fill="EBF5FB"/>
            <w:tcMar>
              <w:top w:w="60" w:type="dxa"/>
              <w:left w:w="100" w:type="dxa"/>
              <w:bottom w:w="60" w:type="dxa"/>
              <w:right w:w="100" w:type="dxa"/>
            </w:tcMar>
          </w:tcPr>
          <w:p w14:paraId="5B5EF919">
            <w:pPr>
              <w:spacing w:after="60"/>
            </w:pPr>
          </w:p>
          <w:p w14:paraId="59CEB2F6">
            <w:pPr>
              <w:spacing w:after="60"/>
            </w:pPr>
          </w:p>
          <w:p w14:paraId="6EA8EBD5">
            <w:pPr>
              <w:spacing w:after="60"/>
            </w:pPr>
          </w:p>
          <w:p w14:paraId="4B2F8319">
            <w:pPr>
              <w:spacing w:after="60"/>
            </w:pPr>
          </w:p>
          <w:p w14:paraId="0F62F33C">
            <w:pPr>
              <w:spacing w:after="60"/>
            </w:pPr>
          </w:p>
        </w:tc>
      </w:tr>
    </w:tbl>
    <w:p w14:paraId="688D5815">
      <w:pPr>
        <w:spacing w:after="120"/>
        <w:jc w:val="left"/>
      </w:pPr>
      <w:r>
        <w:rPr>
          <w:rFonts w:ascii="Arial" w:hAnsi="Arial" w:eastAsia="Arial" w:cs="Arial"/>
          <w:sz w:val="22"/>
          <w:szCs w:val="22"/>
        </w:rPr>
        <w:t>The later pages read as a genuine, unedited domestic conversation between an intimate couple: discussing job offers, wages, phone logistics, childcare arrangements, and sexual banter. This content has zero evidentiary value for any alleged “threat” and was likely left unedited because it was not selected for the curated narrative on pages 1–3.</w:t>
      </w:r>
    </w:p>
    <w:p w14:paraId="083F1BFB">
      <w:pPr>
        <w:spacing w:after="120"/>
        <w:jc w:val="left"/>
      </w:pPr>
      <w:r>
        <w:rPr>
          <w:rFonts w:ascii="Arial" w:hAnsi="Arial" w:eastAsia="Arial" w:cs="Arial"/>
          <w:sz w:val="22"/>
          <w:szCs w:val="22"/>
        </w:rPr>
        <w:t>The stark contrast between the menacing early pages and the banal later pages is consistent with selective rearrangement: the editor extracted and front-loaded passages that could be made to look threatening, while the mundane portions were left in their original sequence at the end.</w:t>
      </w:r>
    </w:p>
    <w:p w14:paraId="35CD5727">
      <w:pPr>
        <w:pStyle w:val="3"/>
        <w:spacing w:before="300" w:after="120"/>
      </w:pPr>
      <w:r>
        <w:rPr>
          <w:rFonts w:ascii="Arial" w:hAnsi="Arial" w:eastAsia="Arial" w:cs="Arial"/>
          <w:b/>
          <w:bCs/>
          <w:sz w:val="24"/>
          <w:szCs w:val="24"/>
        </w:rPr>
        <w:t>B. Repeated Passages in Nonsensical Positions</w:t>
      </w:r>
    </w:p>
    <w:p w14:paraId="092CEA8E">
      <w:pPr>
        <w:spacing w:after="120"/>
        <w:jc w:val="left"/>
      </w:pPr>
      <w:r>
        <w:rPr>
          <w:rFonts w:ascii="Arial" w:hAnsi="Arial" w:eastAsia="Arial" w:cs="Arial"/>
          <w:sz w:val="22"/>
          <w:szCs w:val="22"/>
        </w:rPr>
        <w:t>When the duplicated “devious” block appears the second time on page 1, it interrupts the flow of a different conversation thread. Reading the surrounding text, the second instance does not logically follow from the preceding lines or connect to the following lines. It reads as an insertion — a block dropped into a gap — not as natural conversational progression.</w:t>
      </w:r>
    </w:p>
    <w:p w14:paraId="636CC808">
      <w:pPr>
        <w:pStyle w:val="3"/>
        <w:spacing w:before="300" w:after="120"/>
      </w:pPr>
      <w:r>
        <w:rPr>
          <w:rFonts w:ascii="Arial" w:hAnsi="Arial" w:eastAsia="Arial" w:cs="Arial"/>
          <w:b/>
          <w:bCs/>
          <w:sz w:val="24"/>
          <w:szCs w:val="24"/>
        </w:rPr>
        <w:t>C. Bold/Highlighted Text Not Present in Original</w:t>
      </w:r>
    </w:p>
    <w:p w14:paraId="28BC4452">
      <w:pPr>
        <w:spacing w:after="120"/>
        <w:jc w:val="left"/>
      </w:pPr>
      <w:r>
        <w:rPr>
          <w:rFonts w:ascii="Arial" w:hAnsi="Arial" w:eastAsia="Arial" w:cs="Arial"/>
          <w:sz w:val="22"/>
          <w:szCs w:val="22"/>
        </w:rPr>
        <w:t>Certain lines on page 1 appear with bold formatting or visual emphasis that would not exist in a raw Yahoo Messenger chat export or any automated chat log:</w:t>
      </w:r>
    </w:p>
    <w:p w14:paraId="136F8AC7">
      <w:pPr>
        <w:spacing w:after="120"/>
        <w:ind w:left="720"/>
      </w:pPr>
      <w:r>
        <w:rPr>
          <w:rFonts w:ascii="Arial" w:hAnsi="Arial" w:eastAsia="Arial" w:cs="Arial"/>
          <w:i/>
          <w:iCs/>
          <w:sz w:val="22"/>
          <w:szCs w:val="22"/>
        </w:rPr>
        <w:t>“you know that anything we do did or have done affect that boy”</w:t>
      </w:r>
      <w:r>
        <w:rPr>
          <w:rFonts w:ascii="Arial" w:hAnsi="Arial" w:eastAsia="Arial" w:cs="Arial"/>
          <w:sz w:val="22"/>
          <w:szCs w:val="22"/>
        </w:rPr>
        <w:t xml:space="preserve"> — appears emphasized/bold</w:t>
      </w:r>
    </w:p>
    <w:p w14:paraId="4AAC9F5E">
      <w:pPr>
        <w:spacing w:after="120"/>
        <w:ind w:left="720"/>
      </w:pPr>
      <w:r>
        <w:rPr>
          <w:rFonts w:ascii="Arial" w:hAnsi="Arial" w:eastAsia="Arial" w:cs="Arial"/>
          <w:i/>
          <w:iCs/>
          <w:sz w:val="22"/>
          <w:szCs w:val="22"/>
        </w:rPr>
        <w:t>“and mom has saved him you know that”</w:t>
      </w:r>
      <w:r>
        <w:rPr>
          <w:rFonts w:ascii="Arial" w:hAnsi="Arial" w:eastAsia="Arial" w:cs="Arial"/>
          <w:sz w:val="22"/>
          <w:szCs w:val="22"/>
        </w:rPr>
        <w:t xml:space="preserve"> — appears emphasized/bold</w:t>
      </w:r>
    </w:p>
    <w:p w14:paraId="46904075">
      <w:pPr>
        <w:spacing w:after="120"/>
        <w:ind w:left="720"/>
      </w:pPr>
      <w:r>
        <w:rPr>
          <w:rFonts w:ascii="Arial" w:hAnsi="Arial" w:eastAsia="Arial" w:cs="Arial"/>
          <w:i/>
          <w:iCs/>
          <w:sz w:val="22"/>
          <w:szCs w:val="22"/>
        </w:rPr>
        <w:t>“we would have lost him and you should be kissing her feet for keeping him out of the systeem”</w:t>
      </w:r>
      <w:r>
        <w:rPr>
          <w:rFonts w:ascii="Arial" w:hAnsi="Arial" w:eastAsia="Arial" w:cs="Arial"/>
          <w:sz w:val="22"/>
          <w:szCs w:val="22"/>
        </w:rPr>
        <w:t xml:space="preserve"> — appears emphasized/bold</w:t>
      </w:r>
    </w:p>
    <w:p w14:paraId="21386CC1">
      <w:pPr>
        <w:spacing w:after="120"/>
        <w:ind w:left="720"/>
      </w:pPr>
      <w:r>
        <w:rPr>
          <w:rFonts w:ascii="Arial" w:hAnsi="Arial" w:eastAsia="Arial" w:cs="Arial"/>
          <w:i/>
          <w:iCs/>
          <w:sz w:val="22"/>
          <w:szCs w:val="22"/>
        </w:rPr>
        <w:t>“we had 2-3 months away from him and we fucked it up”</w:t>
      </w:r>
      <w:r>
        <w:rPr>
          <w:rFonts w:ascii="Arial" w:hAnsi="Arial" w:eastAsia="Arial" w:cs="Arial"/>
          <w:sz w:val="22"/>
          <w:szCs w:val="22"/>
        </w:rPr>
        <w:t xml:space="preserve"> — appears emphasized/bold</w:t>
      </w:r>
    </w:p>
    <w:p w14:paraId="534641C1">
      <w:pPr>
        <w:spacing w:after="120"/>
        <w:jc w:val="left"/>
      </w:pPr>
      <w:r>
        <w:rPr>
          <w:rFonts w:ascii="Arial" w:hAnsi="Arial" w:eastAsia="Arial" w:cs="Arial"/>
          <w:sz w:val="22"/>
          <w:szCs w:val="22"/>
        </w:rPr>
        <w:t>Yahoo Messenger’s chat log format does not include bold or highlighted text for selected lines. This selective emphasis was manually added by whoever edited the document, in order to draw the reader’s (and the court’s) eye to passages that support Manning’s narrative. This is direct evidence of editorial manipulation.</w:t>
      </w:r>
    </w:p>
    <w:p w14:paraId="1B0A9451">
      <w:r>
        <w:br w:type="page"/>
      </w:r>
    </w:p>
    <w:p w14:paraId="4F78F21F">
      <w:pPr>
        <w:pStyle w:val="2"/>
        <w:spacing w:before="300" w:after="120"/>
      </w:pPr>
      <w:r>
        <w:rPr>
          <w:rFonts w:ascii="Arial" w:hAnsi="Arial" w:eastAsia="Arial" w:cs="Arial"/>
          <w:b/>
          <w:bCs/>
          <w:sz w:val="28"/>
          <w:szCs w:val="28"/>
        </w:rPr>
        <w:t>VI. FORMATTING ANALYSIS</w:t>
      </w:r>
    </w:p>
    <w:p w14:paraId="4A1568DB">
      <w:pPr>
        <w:pStyle w:val="3"/>
        <w:spacing w:before="300" w:after="120"/>
      </w:pPr>
      <w:r>
        <w:rPr>
          <w:rFonts w:ascii="Arial" w:hAnsi="Arial" w:eastAsia="Arial" w:cs="Arial"/>
          <w:b/>
          <w:bCs/>
          <w:sz w:val="24"/>
          <w:szCs w:val="24"/>
        </w:rPr>
        <w:t>A. Yahoo Messenger Chat Log Format (2008)</w:t>
      </w:r>
    </w:p>
    <w:p w14:paraId="44DA10A2">
      <w:pPr>
        <w:spacing w:after="120"/>
        <w:jc w:val="left"/>
      </w:pPr>
      <w:r>
        <w:rPr>
          <w:rFonts w:ascii="Arial" w:hAnsi="Arial" w:eastAsia="Arial" w:cs="Arial"/>
          <w:sz w:val="22"/>
          <w:szCs w:val="22"/>
        </w:rPr>
        <w:t>In 2008, Yahoo Messenger stored chat histories in a proprietary format that, when exported or viewed, displayed messages in this consistent structure:</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8"/>
      </w:tblGrid>
      <w:tr w14:paraId="3979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8" w:type="dxa"/>
            <w:tcBorders>
              <w:top w:val="single" w:color="999999" w:sz="0" w:space="0"/>
              <w:left w:val="single" w:color="999999" w:sz="0" w:space="0"/>
              <w:bottom w:val="single" w:color="999999" w:sz="0" w:space="0"/>
              <w:right w:val="single" w:color="999999" w:sz="0" w:space="0"/>
            </w:tcBorders>
            <w:shd w:val="clear" w:color="auto" w:fill="F0F0F0"/>
            <w:tcMar>
              <w:top w:w="80" w:type="dxa"/>
              <w:left w:w="200" w:type="dxa"/>
              <w:bottom w:w="80" w:type="dxa"/>
              <w:right w:w="200" w:type="dxa"/>
            </w:tcMar>
          </w:tcPr>
          <w:p w14:paraId="0FBDDF19">
            <w:pPr>
              <w:spacing w:after="40"/>
            </w:pPr>
            <w:r>
              <w:rPr>
                <w:rFonts w:ascii="Courier New" w:hAnsi="Courier New" w:eastAsia="Courier New" w:cs="Courier New"/>
                <w:i/>
                <w:iCs/>
                <w:sz w:val="20"/>
                <w:szCs w:val="20"/>
              </w:rPr>
              <w:t>[timestamp] [screenname]: message text</w:t>
            </w:r>
          </w:p>
        </w:tc>
      </w:tr>
    </w:tbl>
    <w:p w14:paraId="4DA5EDD4">
      <w:pPr>
        <w:spacing w:after="120"/>
        <w:jc w:val="left"/>
      </w:pPr>
      <w:r>
        <w:rPr>
          <w:rFonts w:ascii="Arial" w:hAnsi="Arial" w:eastAsia="Arial" w:cs="Arial"/>
          <w:sz w:val="22"/>
          <w:szCs w:val="22"/>
        </w:rPr>
        <w:t>Key characteristics of legitimate Yahoo Messenger logs: (a) each message appears exactly once; (b) messages are in strict chronological order by timestamp; (c) timestamps are present for each message or message group; (d) no selective bold or highlighting; (e) consistent formatting throughout. The Manning document violates every one of these characteristics except (c) — and notably, timestamps have been stripped entirely, making it impossible to verify chronological order.</w:t>
      </w:r>
    </w:p>
    <w:p w14:paraId="355995EC">
      <w:pPr>
        <w:pStyle w:val="3"/>
        <w:spacing w:before="300" w:after="120"/>
      </w:pPr>
      <w:r>
        <w:rPr>
          <w:rFonts w:ascii="Arial" w:hAnsi="Arial" w:eastAsia="Arial" w:cs="Arial"/>
          <w:b/>
          <w:bCs/>
          <w:sz w:val="24"/>
          <w:szCs w:val="24"/>
        </w:rPr>
        <w:t>B. Absence of Timestamps</w:t>
      </w:r>
    </w:p>
    <w:p w14:paraId="7A6CBA54">
      <w:pPr>
        <w:spacing w:after="120"/>
        <w:jc w:val="left"/>
      </w:pPr>
      <w:r>
        <w:rPr>
          <w:rFonts w:ascii="Arial" w:hAnsi="Arial" w:eastAsia="Arial" w:cs="Arial"/>
          <w:sz w:val="22"/>
          <w:szCs w:val="22"/>
        </w:rPr>
        <w:t>The original Yahoo Messenger log would have contained timestamps for messages. These have been entirely removed from the document. The stripping of timestamps serves the fabrication: with timestamps present, the duplication and rearrangement of passages would be immediately apparent because the same timestamps would appear twice, or the chronological sequence would be visibly broken.</w:t>
      </w:r>
    </w:p>
    <w:p w14:paraId="6965C7CD">
      <w:pPr>
        <w:pStyle w:val="3"/>
        <w:spacing w:before="300" w:after="120"/>
      </w:pPr>
      <w:r>
        <w:rPr>
          <w:rFonts w:ascii="Arial" w:hAnsi="Arial" w:eastAsia="Arial" w:cs="Arial"/>
          <w:b/>
          <w:bCs/>
          <w:sz w:val="24"/>
          <w:szCs w:val="24"/>
        </w:rPr>
        <w:t>C. Font and Formatting Inconsistencies</w:t>
      </w:r>
    </w:p>
    <w:p w14:paraId="3135FBFA">
      <w:pPr>
        <w:spacing w:after="120"/>
        <w:jc w:val="left"/>
      </w:pPr>
      <w:r>
        <w:rPr>
          <w:rFonts w:ascii="Arial" w:hAnsi="Arial" w:eastAsia="Arial" w:cs="Arial"/>
          <w:sz w:val="22"/>
          <w:szCs w:val="22"/>
        </w:rPr>
        <w:t>As noted in Plaintiff’s prior filings, the document exhibits “discrepancies in fonts, sizes, and formatting” including “abrupt changes in formatting and inconsistencies in the conversation’s flow.” These are characteristic of content assembled from multiple copy-and-paste operations, where the pasted text carries source formatting that differs slightly from the surrounding text.</w:t>
      </w:r>
    </w:p>
    <w:p w14:paraId="70BCE17C">
      <w:pPr>
        <w:pStyle w:val="2"/>
        <w:spacing w:before="300" w:after="120"/>
      </w:pPr>
      <w:r>
        <w:rPr>
          <w:rFonts w:ascii="Arial" w:hAnsi="Arial" w:eastAsia="Arial" w:cs="Arial"/>
          <w:b/>
          <w:bCs/>
          <w:sz w:val="28"/>
          <w:szCs w:val="28"/>
        </w:rPr>
        <w:t>VII. CHAIN OF CUSTODY AND PROVENANCE</w:t>
      </w:r>
    </w:p>
    <w:p w14:paraId="0B70612B">
      <w:pPr>
        <w:spacing w:after="120"/>
        <w:jc w:val="left"/>
      </w:pPr>
      <w:r>
        <w:rPr>
          <w:rFonts w:ascii="Arial" w:hAnsi="Arial" w:eastAsia="Arial" w:cs="Arial"/>
          <w:sz w:val="22"/>
          <w:szCs w:val="22"/>
        </w:rPr>
        <w:t>The document’s chain of custody raises additional red flags:</w:t>
      </w:r>
    </w:p>
    <w:p w14:paraId="1E8CDF59">
      <w:pPr>
        <w:pStyle w:val="14"/>
        <w:numPr>
          <w:ilvl w:val="0"/>
          <w:numId w:val="1"/>
        </w:numPr>
        <w:spacing w:after="100"/>
      </w:pPr>
      <w:r>
        <w:rPr>
          <w:rFonts w:ascii="Arial" w:hAnsi="Arial" w:eastAsia="Arial" w:cs="Arial"/>
          <w:sz w:val="22"/>
          <w:szCs w:val="22"/>
        </w:rPr>
        <w:t>John Manning intercepted a private electronic communication between two third parties (“Magik” and “Princess Kelly”) without their knowledge or consent.</w:t>
      </w:r>
    </w:p>
    <w:p w14:paraId="65D1650C">
      <w:pPr>
        <w:pStyle w:val="14"/>
        <w:numPr>
          <w:ilvl w:val="0"/>
          <w:numId w:val="1"/>
        </w:numPr>
        <w:spacing w:after="100"/>
      </w:pPr>
      <w:r>
        <w:rPr>
          <w:rFonts w:ascii="Arial" w:hAnsi="Arial" w:eastAsia="Arial" w:cs="Arial"/>
          <w:sz w:val="22"/>
          <w:szCs w:val="22"/>
        </w:rPr>
        <w:t>John Manning forwarded the intercepted content to Melvina Manning via email from his personal Hotmail account.</w:t>
      </w:r>
    </w:p>
    <w:p w14:paraId="60AEEB42">
      <w:pPr>
        <w:pStyle w:val="14"/>
        <w:numPr>
          <w:ilvl w:val="0"/>
          <w:numId w:val="1"/>
        </w:numPr>
        <w:spacing w:after="100"/>
      </w:pPr>
      <w:r>
        <w:rPr>
          <w:rFonts w:ascii="Arial" w:hAnsi="Arial" w:eastAsia="Arial" w:cs="Arial"/>
          <w:sz w:val="22"/>
          <w:szCs w:val="22"/>
        </w:rPr>
        <w:t>The email was sent on June 2, 2008 — the same date as the conversation — but the chat content was edited before or during the email composition.</w:t>
      </w:r>
    </w:p>
    <w:p w14:paraId="373CCB4A">
      <w:pPr>
        <w:pStyle w:val="14"/>
        <w:numPr>
          <w:ilvl w:val="0"/>
          <w:numId w:val="1"/>
        </w:numPr>
        <w:spacing w:after="100"/>
      </w:pPr>
      <w:r>
        <w:rPr>
          <w:rFonts w:ascii="Arial" w:hAnsi="Arial" w:eastAsia="Arial" w:cs="Arial"/>
          <w:sz w:val="22"/>
          <w:szCs w:val="22"/>
        </w:rPr>
        <w:t>The document was later submitted to the court as a “declaration” without disclosing that it was an email, that the original was a text chat (not audio), or that the content had been edited.</w:t>
      </w:r>
    </w:p>
    <w:p w14:paraId="1D5E3452">
      <w:pPr>
        <w:pStyle w:val="14"/>
        <w:numPr>
          <w:ilvl w:val="0"/>
          <w:numId w:val="1"/>
        </w:numPr>
        <w:spacing w:after="100"/>
      </w:pPr>
      <w:r>
        <w:rPr>
          <w:rFonts w:ascii="Arial" w:hAnsi="Arial" w:eastAsia="Arial" w:cs="Arial"/>
          <w:sz w:val="22"/>
          <w:szCs w:val="22"/>
        </w:rPr>
        <w:t>John Manning’s email account (adubbsworld@hotmail.com) is the only documented source. No original Yahoo Messenger log has ever been produced.</w:t>
      </w:r>
    </w:p>
    <w:p w14:paraId="400B0E41">
      <w:pPr>
        <w:pStyle w:val="2"/>
        <w:spacing w:before="300" w:after="120"/>
      </w:pPr>
      <w:r>
        <w:rPr>
          <w:rFonts w:ascii="Arial" w:hAnsi="Arial" w:eastAsia="Arial" w:cs="Arial"/>
          <w:b/>
          <w:bCs/>
          <w:sz w:val="28"/>
          <w:szCs w:val="28"/>
        </w:rPr>
        <w:t>VIII. LEGAL SIGNIFICANCE</w:t>
      </w:r>
    </w:p>
    <w:p w14:paraId="4AD8C2D7">
      <w:pPr>
        <w:pStyle w:val="3"/>
        <w:spacing w:before="300" w:after="120"/>
      </w:pPr>
      <w:r>
        <w:rPr>
          <w:rFonts w:ascii="Arial" w:hAnsi="Arial" w:eastAsia="Arial" w:cs="Arial"/>
          <w:b/>
          <w:bCs/>
          <w:sz w:val="24"/>
          <w:szCs w:val="24"/>
        </w:rPr>
        <w:t>A. Fraud on the Court</w:t>
      </w:r>
    </w:p>
    <w:p w14:paraId="0408F49C">
      <w:pPr>
        <w:spacing w:after="120"/>
        <w:jc w:val="left"/>
      </w:pPr>
      <w:r>
        <w:rPr>
          <w:rFonts w:ascii="Arial" w:hAnsi="Arial" w:eastAsia="Arial" w:cs="Arial"/>
          <w:sz w:val="22"/>
          <w:szCs w:val="22"/>
        </w:rPr>
        <w:t>Submitting a fabricated document to a court as sworn evidence constitutes fraud on the court. The fabrication here is not a matter of interpretation — verbatim duplicated text blocks within a purported conversation record can only exist through manual editing. The document was presented as a genuine record of a conversation when it was, in fact, a curated, rearranged, and selectively emphasized compilation.</w:t>
      </w:r>
    </w:p>
    <w:p w14:paraId="7B4FF581">
      <w:pPr>
        <w:pStyle w:val="3"/>
        <w:spacing w:before="300" w:after="120"/>
      </w:pPr>
      <w:r>
        <w:rPr>
          <w:rFonts w:ascii="Arial" w:hAnsi="Arial" w:eastAsia="Arial" w:cs="Arial"/>
          <w:b/>
          <w:bCs/>
          <w:sz w:val="24"/>
          <w:szCs w:val="24"/>
        </w:rPr>
        <w:t>B. Illegal Interception — RCW 9.73.030(1)</w:t>
      </w:r>
    </w:p>
    <w:p w14:paraId="1EECE28C">
      <w:pPr>
        <w:spacing w:after="120"/>
        <w:jc w:val="left"/>
      </w:pPr>
      <w:r>
        <w:rPr>
          <w:rFonts w:ascii="Arial" w:hAnsi="Arial" w:eastAsia="Arial" w:cs="Arial"/>
          <w:sz w:val="22"/>
          <w:szCs w:val="22"/>
        </w:rPr>
        <w:t>Washington is a two-party consent state. RCW 9.73.030(1) prohibits intercepting or recording any private communication without the consent of all parties. John Manning intercepted a private electronic communication between two parties without either party’s consent. The intercepted communication was then used as the basis for a court filing. Evidence obtained through illegal interception is inadmissible under Washington law and its submission to the court compounds the illegality.</w:t>
      </w:r>
    </w:p>
    <w:p w14:paraId="15726769">
      <w:pPr>
        <w:pStyle w:val="3"/>
        <w:spacing w:before="300" w:after="120"/>
      </w:pPr>
      <w:r>
        <w:rPr>
          <w:rFonts w:ascii="Arial" w:hAnsi="Arial" w:eastAsia="Arial" w:cs="Arial"/>
          <w:b/>
          <w:bCs/>
          <w:sz w:val="24"/>
          <w:szCs w:val="24"/>
        </w:rPr>
        <w:t>C. No “True Threat” Content</w:t>
      </w:r>
    </w:p>
    <w:p w14:paraId="38CAC591">
      <w:pPr>
        <w:spacing w:after="120"/>
        <w:jc w:val="left"/>
      </w:pPr>
      <w:r>
        <w:rPr>
          <w:rFonts w:ascii="Arial" w:hAnsi="Arial" w:eastAsia="Arial" w:cs="Arial"/>
          <w:sz w:val="22"/>
          <w:szCs w:val="22"/>
        </w:rPr>
        <w:t>Even taking the document’s content at face value and ignoring the fabrication, nothing in the conversation meets the threshold of a “true threat” as defined by the Supreme Court in Virginia v. Black, 538 U.S. 343, 359 (2003): statements in which a speaker expresses a serious intent to commit an act of unlawful violence. The conversation consists of a couple discussing a custody situation, expressing frustration with family dynamics, and having personal domestic exchanges. The curated arrangement was designed to make innocuous conversation appear threatening.</w:t>
      </w:r>
    </w:p>
    <w:p w14:paraId="47105FA2">
      <w:pPr>
        <w:pStyle w:val="3"/>
        <w:spacing w:before="300" w:after="120"/>
      </w:pPr>
      <w:r>
        <w:rPr>
          <w:rFonts w:ascii="Arial" w:hAnsi="Arial" w:eastAsia="Arial" w:cs="Arial"/>
          <w:b/>
          <w:bCs/>
          <w:sz w:val="24"/>
          <w:szCs w:val="24"/>
        </w:rPr>
        <w:t>D. Implications for § 1983 Conspiracy Claim</w:t>
      </w:r>
    </w:p>
    <w:p w14:paraId="069B3CD2">
      <w:pPr>
        <w:spacing w:after="120"/>
        <w:jc w:val="left"/>
      </w:pPr>
      <w:r>
        <w:rPr>
          <w:rFonts w:ascii="Arial" w:hAnsi="Arial" w:eastAsia="Arial" w:cs="Arial"/>
          <w:sz w:val="22"/>
          <w:szCs w:val="22"/>
        </w:rPr>
        <w:t>If John Manning knowingly fabricated and submitted this document to the court, and Melvina Manning knowingly relied on fabricated evidence in legal proceedings to deprive Zachary Bennett of his fundamental parental rights, this constitutes the type of conspiracy to misuse judicial process that gives rise to liability under 42 U.S.C. § 1983 pursuant to Dennis v. Sparks, 449 U.S. 24 (1980). Attorney Nancy Gass was notified of the document’s fraudulent nature on April 9, 2024, and took no remedial action under RPC 3.3(b), instead moving for summary judgment 2.5 months later relying on the narrative this fabricated document supported.</w:t>
      </w:r>
    </w:p>
    <w:p w14:paraId="7B4646FB">
      <w:r>
        <w:br w:type="page"/>
      </w:r>
    </w:p>
    <w:p w14:paraId="55DF5097">
      <w:pPr>
        <w:pStyle w:val="2"/>
        <w:spacing w:before="300" w:after="120"/>
      </w:pPr>
      <w:r>
        <w:rPr>
          <w:rFonts w:ascii="Arial" w:hAnsi="Arial" w:eastAsia="Arial" w:cs="Arial"/>
          <w:b/>
          <w:bCs/>
          <w:sz w:val="28"/>
          <w:szCs w:val="28"/>
        </w:rPr>
        <w:t>IX. SUMMARY OF FORENSIC FINDINGS</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3200"/>
        <w:gridCol w:w="2648"/>
      </w:tblGrid>
      <w:tr w14:paraId="2AA1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87FB8CA">
            <w:r>
              <w:rPr>
                <w:rFonts w:ascii="Arial" w:hAnsi="Arial" w:eastAsia="Arial" w:cs="Arial"/>
                <w:b/>
                <w:bCs/>
                <w:color w:val="FFFFFF"/>
                <w:sz w:val="20"/>
                <w:szCs w:val="20"/>
              </w:rPr>
              <w:t>#</w:t>
            </w:r>
          </w:p>
        </w:tc>
        <w:tc>
          <w:tcPr>
            <w:tcW w:w="3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F595CA0">
            <w:r>
              <w:rPr>
                <w:rFonts w:ascii="Arial" w:hAnsi="Arial" w:eastAsia="Arial" w:cs="Arial"/>
                <w:b/>
                <w:bCs/>
                <w:color w:val="FFFFFF"/>
                <w:sz w:val="20"/>
                <w:szCs w:val="20"/>
              </w:rPr>
              <w:t>Finding</w:t>
            </w:r>
          </w:p>
        </w:tc>
        <w:tc>
          <w:tcPr>
            <w:tcW w:w="3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1679642">
            <w:r>
              <w:rPr>
                <w:rFonts w:ascii="Arial" w:hAnsi="Arial" w:eastAsia="Arial" w:cs="Arial"/>
                <w:b/>
                <w:bCs/>
                <w:color w:val="FFFFFF"/>
                <w:sz w:val="20"/>
                <w:szCs w:val="20"/>
              </w:rPr>
              <w:t>Evidence</w:t>
            </w:r>
          </w:p>
        </w:tc>
        <w:tc>
          <w:tcPr>
            <w:tcW w:w="2648"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B4D0590">
            <w:r>
              <w:rPr>
                <w:rFonts w:ascii="Arial" w:hAnsi="Arial" w:eastAsia="Arial" w:cs="Arial"/>
                <w:b/>
                <w:bCs/>
                <w:color w:val="FFFFFF"/>
                <w:sz w:val="20"/>
                <w:szCs w:val="20"/>
              </w:rPr>
              <w:t>Significance</w:t>
            </w:r>
          </w:p>
        </w:tc>
      </w:tr>
      <w:tr w14:paraId="1DAE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6D32C5">
            <w:r>
              <w:rPr>
                <w:rFonts w:ascii="Arial" w:hAnsi="Arial" w:eastAsia="Arial" w:cs="Arial"/>
                <w:sz w:val="20"/>
                <w:szCs w:val="20"/>
              </w:rPr>
              <w:t>1</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99F273">
            <w:r>
              <w:rPr>
                <w:rFonts w:ascii="Arial" w:hAnsi="Arial" w:eastAsia="Arial" w:cs="Arial"/>
                <w:sz w:val="20"/>
                <w:szCs w:val="20"/>
              </w:rPr>
              <w:t>Document is text chat, not audio transcription</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040DA6">
            <w:r>
              <w:rPr>
                <w:rFonts w:ascii="Arial" w:hAnsi="Arial" w:eastAsia="Arial" w:cs="Arial"/>
                <w:sz w:val="20"/>
                <w:szCs w:val="20"/>
              </w:rPr>
              <w:t>Screen names “Magik” / “Princess Kelly”; Yahoo Messenger format</w:t>
            </w:r>
          </w:p>
        </w:tc>
        <w:tc>
          <w:tcPr>
            <w:tcW w:w="26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D60D26">
            <w:r>
              <w:rPr>
                <w:rFonts w:ascii="Arial" w:hAnsi="Arial" w:eastAsia="Arial" w:cs="Arial"/>
                <w:sz w:val="20"/>
                <w:szCs w:val="20"/>
              </w:rPr>
              <w:t>Fundamental misrepresentation to court</w:t>
            </w:r>
          </w:p>
        </w:tc>
      </w:tr>
      <w:tr w14:paraId="25D2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08CF774D">
            <w:r>
              <w:rPr>
                <w:rFonts w:ascii="Arial" w:hAnsi="Arial" w:eastAsia="Arial" w:cs="Arial"/>
                <w:sz w:val="20"/>
                <w:szCs w:val="20"/>
              </w:rPr>
              <w:t>2</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0A641F7D">
            <w:r>
              <w:rPr>
                <w:rFonts w:ascii="Arial" w:hAnsi="Arial" w:eastAsia="Arial" w:cs="Arial"/>
                <w:sz w:val="20"/>
                <w:szCs w:val="20"/>
              </w:rPr>
              <w:t>Document is an email, not a declaration</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4D23E2C9">
            <w:r>
              <w:rPr>
                <w:rFonts w:ascii="Arial" w:hAnsi="Arial" w:eastAsia="Arial" w:cs="Arial"/>
                <w:sz w:val="20"/>
                <w:szCs w:val="20"/>
              </w:rPr>
              <w:t>Outlook email header (From/Sent/To/Subject) from John Manning’s Hotmail</w:t>
            </w:r>
          </w:p>
        </w:tc>
        <w:tc>
          <w:tcPr>
            <w:tcW w:w="2648"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41D6E199">
            <w:r>
              <w:rPr>
                <w:rFonts w:ascii="Arial" w:hAnsi="Arial" w:eastAsia="Arial" w:cs="Arial"/>
                <w:sz w:val="20"/>
                <w:szCs w:val="20"/>
              </w:rPr>
              <w:t>No authentication as a record; provenance through a third party</w:t>
            </w:r>
          </w:p>
        </w:tc>
      </w:tr>
      <w:tr w14:paraId="541A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22857D">
            <w:r>
              <w:rPr>
                <w:rFonts w:ascii="Arial" w:hAnsi="Arial" w:eastAsia="Arial" w:cs="Arial"/>
                <w:sz w:val="20"/>
                <w:szCs w:val="20"/>
              </w:rPr>
              <w:t>3</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EFDC8E">
            <w:r>
              <w:rPr>
                <w:rFonts w:ascii="Arial" w:hAnsi="Arial" w:eastAsia="Arial" w:cs="Arial"/>
                <w:sz w:val="20"/>
                <w:szCs w:val="20"/>
              </w:rPr>
              <w:t>Verbatim copy-paste: “Devious” block duplicated on p.1</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EDD449">
            <w:r>
              <w:rPr>
                <w:rFonts w:ascii="Arial" w:hAnsi="Arial" w:eastAsia="Arial" w:cs="Arial"/>
                <w:sz w:val="20"/>
                <w:szCs w:val="20"/>
              </w:rPr>
              <w:t>Identical 3-line block appears twice on same page</w:t>
            </w:r>
          </w:p>
        </w:tc>
        <w:tc>
          <w:tcPr>
            <w:tcW w:w="26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C0587E6">
            <w:r>
              <w:rPr>
                <w:rFonts w:ascii="Arial" w:hAnsi="Arial" w:eastAsia="Arial" w:cs="Arial"/>
                <w:sz w:val="20"/>
                <w:szCs w:val="20"/>
              </w:rPr>
              <w:t>Conclusive proof of manual editing / fabrication</w:t>
            </w:r>
          </w:p>
        </w:tc>
      </w:tr>
      <w:tr w14:paraId="2F2B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5F2B27AA">
            <w:r>
              <w:rPr>
                <w:rFonts w:ascii="Arial" w:hAnsi="Arial" w:eastAsia="Arial" w:cs="Arial"/>
                <w:sz w:val="20"/>
                <w:szCs w:val="20"/>
              </w:rPr>
              <w:t>4</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29956582">
            <w:r>
              <w:rPr>
                <w:rFonts w:ascii="Arial" w:hAnsi="Arial" w:eastAsia="Arial" w:cs="Arial"/>
                <w:sz w:val="20"/>
                <w:szCs w:val="20"/>
              </w:rPr>
              <w:t>Verbatim copy-paste: cross-page duplication (p.1 → p.2–3)</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08091F38">
            <w:r>
              <w:rPr>
                <w:rFonts w:ascii="Arial" w:hAnsi="Arial" w:eastAsia="Arial" w:cs="Arial"/>
                <w:sz w:val="20"/>
                <w:szCs w:val="20"/>
              </w:rPr>
              <w:t>P.1 ¶2 matches last 6 lines p.2 + first 2 lines p.3</w:t>
            </w:r>
          </w:p>
        </w:tc>
        <w:tc>
          <w:tcPr>
            <w:tcW w:w="2648"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2EFA34A0">
            <w:r>
              <w:rPr>
                <w:rFonts w:ascii="Arial" w:hAnsi="Arial" w:eastAsia="Arial" w:cs="Arial"/>
                <w:sz w:val="20"/>
                <w:szCs w:val="20"/>
              </w:rPr>
              <w:t>Second independent fabrication event; systematic rearrangement</w:t>
            </w:r>
          </w:p>
        </w:tc>
      </w:tr>
      <w:tr w14:paraId="77B3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CE597B4">
            <w:r>
              <w:rPr>
                <w:rFonts w:ascii="Arial" w:hAnsi="Arial" w:eastAsia="Arial" w:cs="Arial"/>
                <w:sz w:val="20"/>
                <w:szCs w:val="20"/>
              </w:rPr>
              <w:t>5</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AE8D85">
            <w:r>
              <w:rPr>
                <w:rFonts w:ascii="Arial" w:hAnsi="Arial" w:eastAsia="Arial" w:cs="Arial"/>
                <w:sz w:val="20"/>
                <w:szCs w:val="20"/>
              </w:rPr>
              <w:t>Selective bold/emphasis added</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94AD47">
            <w:r>
              <w:rPr>
                <w:rFonts w:ascii="Arial" w:hAnsi="Arial" w:eastAsia="Arial" w:cs="Arial"/>
                <w:sz w:val="20"/>
                <w:szCs w:val="20"/>
              </w:rPr>
              <w:t>Specific lines bolded; not present in native chat format</w:t>
            </w:r>
          </w:p>
        </w:tc>
        <w:tc>
          <w:tcPr>
            <w:tcW w:w="26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3DA97E">
            <w:r>
              <w:rPr>
                <w:rFonts w:ascii="Arial" w:hAnsi="Arial" w:eastAsia="Arial" w:cs="Arial"/>
                <w:sz w:val="20"/>
                <w:szCs w:val="20"/>
              </w:rPr>
              <w:t>Editorial manipulation to influence reader</w:t>
            </w:r>
          </w:p>
        </w:tc>
      </w:tr>
      <w:tr w14:paraId="2F4A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2C5F093F">
            <w:r>
              <w:rPr>
                <w:rFonts w:ascii="Arial" w:hAnsi="Arial" w:eastAsia="Arial" w:cs="Arial"/>
                <w:sz w:val="20"/>
                <w:szCs w:val="20"/>
              </w:rPr>
              <w:t>6</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0BBAC784">
            <w:r>
              <w:rPr>
                <w:rFonts w:ascii="Arial" w:hAnsi="Arial" w:eastAsia="Arial" w:cs="Arial"/>
                <w:sz w:val="20"/>
                <w:szCs w:val="20"/>
              </w:rPr>
              <w:t>Timestamps stripped</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56497F50">
            <w:r>
              <w:rPr>
                <w:rFonts w:ascii="Arial" w:hAnsi="Arial" w:eastAsia="Arial" w:cs="Arial"/>
                <w:sz w:val="20"/>
                <w:szCs w:val="20"/>
              </w:rPr>
              <w:t>No timestamps despite Yahoo Messenger generating them</w:t>
            </w:r>
          </w:p>
        </w:tc>
        <w:tc>
          <w:tcPr>
            <w:tcW w:w="2648"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3CC014ED">
            <w:r>
              <w:rPr>
                <w:rFonts w:ascii="Arial" w:hAnsi="Arial" w:eastAsia="Arial" w:cs="Arial"/>
                <w:sz w:val="20"/>
                <w:szCs w:val="20"/>
              </w:rPr>
              <w:t>Conceals duplication and rearrangement</w:t>
            </w:r>
          </w:p>
        </w:tc>
      </w:tr>
      <w:tr w14:paraId="7A5C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315C8F">
            <w:r>
              <w:rPr>
                <w:rFonts w:ascii="Arial" w:hAnsi="Arial" w:eastAsia="Arial" w:cs="Arial"/>
                <w:sz w:val="20"/>
                <w:szCs w:val="20"/>
              </w:rPr>
              <w:t>7</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D93814">
            <w:r>
              <w:rPr>
                <w:rFonts w:ascii="Arial" w:hAnsi="Arial" w:eastAsia="Arial" w:cs="Arial"/>
                <w:sz w:val="20"/>
                <w:szCs w:val="20"/>
              </w:rPr>
              <w:t>Tonal discontinuity / narrative curation</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F8E068">
            <w:r>
              <w:rPr>
                <w:rFonts w:ascii="Arial" w:hAnsi="Arial" w:eastAsia="Arial" w:cs="Arial"/>
                <w:sz w:val="20"/>
                <w:szCs w:val="20"/>
              </w:rPr>
              <w:t>Threatening tone pp.1–3 vs. domestic chat pp.5–6</w:t>
            </w:r>
          </w:p>
        </w:tc>
        <w:tc>
          <w:tcPr>
            <w:tcW w:w="26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1DAC97">
            <w:r>
              <w:rPr>
                <w:rFonts w:ascii="Arial" w:hAnsi="Arial" w:eastAsia="Arial" w:cs="Arial"/>
                <w:sz w:val="20"/>
                <w:szCs w:val="20"/>
              </w:rPr>
              <w:t>Threat narrative is constructed, not organic</w:t>
            </w:r>
          </w:p>
        </w:tc>
      </w:tr>
      <w:tr w14:paraId="4234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1F71B62C">
            <w:r>
              <w:rPr>
                <w:rFonts w:ascii="Arial" w:hAnsi="Arial" w:eastAsia="Arial" w:cs="Arial"/>
                <w:sz w:val="20"/>
                <w:szCs w:val="20"/>
              </w:rPr>
              <w:t>8</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33DB0C5F">
            <w:r>
              <w:rPr>
                <w:rFonts w:ascii="Arial" w:hAnsi="Arial" w:eastAsia="Arial" w:cs="Arial"/>
                <w:sz w:val="20"/>
                <w:szCs w:val="20"/>
              </w:rPr>
              <w:t>Font/formatting inconsistencies</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4922388B">
            <w:r>
              <w:rPr>
                <w:rFonts w:ascii="Arial" w:hAnsi="Arial" w:eastAsia="Arial" w:cs="Arial"/>
                <w:sz w:val="20"/>
                <w:szCs w:val="20"/>
              </w:rPr>
              <w:t>Abrupt formatting changes between sections</w:t>
            </w:r>
          </w:p>
        </w:tc>
        <w:tc>
          <w:tcPr>
            <w:tcW w:w="2648"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3FAB028C">
            <w:r>
              <w:rPr>
                <w:rFonts w:ascii="Arial" w:hAnsi="Arial" w:eastAsia="Arial" w:cs="Arial"/>
                <w:sz w:val="20"/>
                <w:szCs w:val="20"/>
              </w:rPr>
              <w:t>Consistent with multi-source copy-paste assembly</w:t>
            </w:r>
          </w:p>
        </w:tc>
      </w:tr>
      <w:tr w14:paraId="680E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E878BF1">
            <w:r>
              <w:rPr>
                <w:rFonts w:ascii="Arial" w:hAnsi="Arial" w:eastAsia="Arial" w:cs="Arial"/>
                <w:sz w:val="20"/>
                <w:szCs w:val="20"/>
              </w:rPr>
              <w:t>9</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8C658D">
            <w:r>
              <w:rPr>
                <w:rFonts w:ascii="Arial" w:hAnsi="Arial" w:eastAsia="Arial" w:cs="Arial"/>
                <w:sz w:val="20"/>
                <w:szCs w:val="20"/>
              </w:rPr>
              <w:t>Illegal interception</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BD2CD6">
            <w:r>
              <w:rPr>
                <w:rFonts w:ascii="Arial" w:hAnsi="Arial" w:eastAsia="Arial" w:cs="Arial"/>
                <w:sz w:val="20"/>
                <w:szCs w:val="20"/>
              </w:rPr>
              <w:t>Private chat between third parties captured without consent</w:t>
            </w:r>
          </w:p>
        </w:tc>
        <w:tc>
          <w:tcPr>
            <w:tcW w:w="264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2610FE">
            <w:r>
              <w:rPr>
                <w:rFonts w:ascii="Arial" w:hAnsi="Arial" w:eastAsia="Arial" w:cs="Arial"/>
                <w:sz w:val="20"/>
                <w:szCs w:val="20"/>
              </w:rPr>
              <w:t>Violation of RCW 9.73.030(1); evidence inadmissible</w:t>
            </w:r>
          </w:p>
        </w:tc>
      </w:tr>
      <w:tr w14:paraId="1562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3A5A5E45">
            <w:r>
              <w:rPr>
                <w:rFonts w:ascii="Arial" w:hAnsi="Arial" w:eastAsia="Arial" w:cs="Arial"/>
                <w:sz w:val="20"/>
                <w:szCs w:val="20"/>
              </w:rPr>
              <w:t>10</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18BD5702">
            <w:r>
              <w:rPr>
                <w:rFonts w:ascii="Arial" w:hAnsi="Arial" w:eastAsia="Arial" w:cs="Arial"/>
                <w:sz w:val="20"/>
                <w:szCs w:val="20"/>
              </w:rPr>
              <w:t>No original log produced</w:t>
            </w:r>
          </w:p>
        </w:tc>
        <w:tc>
          <w:tcPr>
            <w:tcW w:w="32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59AFE8C2">
            <w:r>
              <w:rPr>
                <w:rFonts w:ascii="Arial" w:hAnsi="Arial" w:eastAsia="Arial" w:cs="Arial"/>
                <w:sz w:val="20"/>
                <w:szCs w:val="20"/>
              </w:rPr>
              <w:t>Only John Manning’s email version exists in record</w:t>
            </w:r>
          </w:p>
        </w:tc>
        <w:tc>
          <w:tcPr>
            <w:tcW w:w="2648"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4054088F">
            <w:r>
              <w:rPr>
                <w:rFonts w:ascii="Arial" w:hAnsi="Arial" w:eastAsia="Arial" w:cs="Arial"/>
                <w:sz w:val="20"/>
                <w:szCs w:val="20"/>
              </w:rPr>
              <w:t>No way to verify against authentic source</w:t>
            </w:r>
          </w:p>
        </w:tc>
      </w:tr>
    </w:tbl>
    <w:p w14:paraId="611C46FE">
      <w:pPr>
        <w:pStyle w:val="2"/>
        <w:spacing w:before="300" w:after="120"/>
      </w:pPr>
      <w:r>
        <w:rPr>
          <w:rFonts w:ascii="Arial" w:hAnsi="Arial" w:eastAsia="Arial" w:cs="Arial"/>
          <w:b/>
          <w:bCs/>
          <w:sz w:val="28"/>
          <w:szCs w:val="28"/>
        </w:rPr>
        <w:t>X. CONCLUSIONS</w:t>
      </w:r>
    </w:p>
    <w:p w14:paraId="06A1D1E6">
      <w:pPr>
        <w:pStyle w:val="14"/>
        <w:numPr>
          <w:ilvl w:val="0"/>
          <w:numId w:val="2"/>
        </w:numPr>
        <w:spacing w:after="120"/>
      </w:pPr>
      <w:r>
        <w:rPr>
          <w:rFonts w:ascii="Arial" w:hAnsi="Arial" w:eastAsia="Arial" w:cs="Arial"/>
          <w:sz w:val="22"/>
          <w:szCs w:val="22"/>
        </w:rPr>
        <w:t>The “Declaration of John Manning” is not a genuine record of a conversation. It is a fabricated document assembled through copy-and-paste editing of intercepted Yahoo Messenger chat logs.</w:t>
      </w:r>
    </w:p>
    <w:p w14:paraId="6F6A2792">
      <w:pPr>
        <w:pStyle w:val="14"/>
        <w:numPr>
          <w:ilvl w:val="0"/>
          <w:numId w:val="2"/>
        </w:numPr>
        <w:spacing w:after="120"/>
      </w:pPr>
      <w:r>
        <w:rPr>
          <w:rFonts w:ascii="Arial" w:hAnsi="Arial" w:eastAsia="Arial" w:cs="Arial"/>
          <w:sz w:val="22"/>
          <w:szCs w:val="22"/>
        </w:rPr>
        <w:t>The document was misrepresented to the court as an audio transcription when it is demonstrably a text-based instant message log.</w:t>
      </w:r>
    </w:p>
    <w:p w14:paraId="354ABA0E">
      <w:pPr>
        <w:pStyle w:val="14"/>
        <w:numPr>
          <w:ilvl w:val="0"/>
          <w:numId w:val="2"/>
        </w:numPr>
        <w:spacing w:after="120"/>
      </w:pPr>
      <w:r>
        <w:rPr>
          <w:rFonts w:ascii="Arial" w:hAnsi="Arial" w:eastAsia="Arial" w:cs="Arial"/>
          <w:sz w:val="22"/>
          <w:szCs w:val="22"/>
        </w:rPr>
        <w:t>The verbatim duplications are dispositive: no legitimate transcription, export, or capture tool produces identical blocks of text within the same document. This can only result from manual editing.</w:t>
      </w:r>
    </w:p>
    <w:p w14:paraId="2025FCC6">
      <w:pPr>
        <w:pStyle w:val="14"/>
        <w:numPr>
          <w:ilvl w:val="0"/>
          <w:numId w:val="2"/>
        </w:numPr>
        <w:spacing w:after="120"/>
      </w:pPr>
      <w:r>
        <w:rPr>
          <w:rFonts w:ascii="Arial" w:hAnsi="Arial" w:eastAsia="Arial" w:cs="Arial"/>
          <w:sz w:val="22"/>
          <w:szCs w:val="22"/>
        </w:rPr>
        <w:t>The document was obtained through illegal interception of a private electronic communication in violation of RCW 9.73.030(1).</w:t>
      </w:r>
    </w:p>
    <w:p w14:paraId="39C5FA0B">
      <w:pPr>
        <w:pStyle w:val="14"/>
        <w:numPr>
          <w:ilvl w:val="0"/>
          <w:numId w:val="2"/>
        </w:numPr>
        <w:spacing w:after="120"/>
      </w:pPr>
      <w:r>
        <w:rPr>
          <w:rFonts w:ascii="Arial" w:hAnsi="Arial" w:eastAsia="Arial" w:cs="Arial"/>
          <w:sz w:val="22"/>
          <w:szCs w:val="22"/>
        </w:rPr>
        <w:t>The submission of this fabricated document to the court as sworn evidence constitutes fraud on the court. Its continued use as a basis for judicial action, after notification of its fraudulent nature on April 9, 2024, compounds the fraud.</w:t>
      </w:r>
    </w:p>
    <w:p w14:paraId="561E967B">
      <w:pPr>
        <w:pStyle w:val="14"/>
        <w:numPr>
          <w:ilvl w:val="0"/>
          <w:numId w:val="2"/>
        </w:numPr>
        <w:spacing w:after="120"/>
      </w:pPr>
      <w:r>
        <w:rPr>
          <w:rFonts w:ascii="Arial" w:hAnsi="Arial" w:eastAsia="Arial" w:cs="Arial"/>
          <w:sz w:val="22"/>
          <w:szCs w:val="22"/>
        </w:rPr>
        <w:t>A qualified forensic document examiner should be retained to provide expert testimony under Daubert regarding the fabrication findings documented herein.</w:t>
      </w:r>
    </w:p>
    <w:p w14:paraId="6722BAB6">
      <w:pPr>
        <w:pStyle w:val="2"/>
        <w:spacing w:before="300" w:after="120"/>
      </w:pPr>
      <w:r>
        <w:rPr>
          <w:rFonts w:ascii="Arial" w:hAnsi="Arial" w:eastAsia="Arial" w:cs="Arial"/>
          <w:b/>
          <w:bCs/>
          <w:sz w:val="28"/>
          <w:szCs w:val="28"/>
        </w:rPr>
        <w:t>XI. RECOMMENDED NEXT STEPS</w:t>
      </w:r>
    </w:p>
    <w:tbl>
      <w:tblPr>
        <w:tblStyle w:val="9"/>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524"/>
        <w:gridCol w:w="4524"/>
      </w:tblGrid>
      <w:tr w14:paraId="73CA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228B6DC">
            <w:r>
              <w:rPr>
                <w:rFonts w:ascii="Arial" w:hAnsi="Arial" w:eastAsia="Arial" w:cs="Arial"/>
                <w:b/>
                <w:bCs/>
                <w:color w:val="FFFFFF"/>
                <w:sz w:val="20"/>
                <w:szCs w:val="20"/>
              </w:rPr>
              <w:t>#</w:t>
            </w:r>
          </w:p>
        </w:tc>
        <w:tc>
          <w:tcPr>
            <w:tcW w:w="45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0C81EDC9">
            <w:r>
              <w:rPr>
                <w:rFonts w:ascii="Arial" w:hAnsi="Arial" w:eastAsia="Arial" w:cs="Arial"/>
                <w:b/>
                <w:bCs/>
                <w:color w:val="FFFFFF"/>
                <w:sz w:val="20"/>
                <w:szCs w:val="20"/>
              </w:rPr>
              <w:t>Action</w:t>
            </w:r>
          </w:p>
        </w:tc>
        <w:tc>
          <w:tcPr>
            <w:tcW w:w="4524"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2CE72C1">
            <w:r>
              <w:rPr>
                <w:rFonts w:ascii="Arial" w:hAnsi="Arial" w:eastAsia="Arial" w:cs="Arial"/>
                <w:b/>
                <w:bCs/>
                <w:color w:val="FFFFFF"/>
                <w:sz w:val="20"/>
                <w:szCs w:val="20"/>
              </w:rPr>
              <w:t>Purpose</w:t>
            </w:r>
          </w:p>
        </w:tc>
      </w:tr>
      <w:tr w14:paraId="44B1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4BC03342">
            <w:r>
              <w:rPr>
                <w:rFonts w:hint="default" w:cs="Arial"/>
                <w:sz w:val="20"/>
                <w:szCs w:val="20"/>
                <w:lang w:val="en-US"/>
              </w:rPr>
              <w:t>1</w:t>
            </w:r>
          </w:p>
        </w:tc>
        <w:tc>
          <w:tcPr>
            <w:tcW w:w="4524"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16B9737C">
            <w:r>
              <w:rPr>
                <w:rFonts w:ascii="Arial" w:hAnsi="Arial" w:eastAsia="Arial" w:cs="Arial"/>
                <w:sz w:val="20"/>
                <w:szCs w:val="20"/>
              </w:rPr>
              <w:t>Preserve all copies of this document from all court filings</w:t>
            </w:r>
          </w:p>
        </w:tc>
        <w:tc>
          <w:tcPr>
            <w:tcW w:w="4524"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05A17AFD">
            <w:r>
              <w:rPr>
                <w:rFonts w:ascii="Arial" w:hAnsi="Arial" w:eastAsia="Arial" w:cs="Arial"/>
                <w:sz w:val="20"/>
                <w:szCs w:val="20"/>
              </w:rPr>
              <w:t>Chain of custody for forensic examination</w:t>
            </w:r>
          </w:p>
        </w:tc>
      </w:tr>
      <w:tr w14:paraId="73E7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D9811A9">
            <w:r>
              <w:rPr>
                <w:rFonts w:hint="default" w:cs="Arial"/>
                <w:sz w:val="20"/>
                <w:szCs w:val="20"/>
                <w:lang w:val="en-US"/>
              </w:rPr>
              <w:t>2</w:t>
            </w:r>
          </w:p>
        </w:tc>
        <w:tc>
          <w:tcPr>
            <w:tcW w:w="452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9FE591">
            <w:r>
              <w:rPr>
                <w:rFonts w:ascii="Arial" w:hAnsi="Arial" w:eastAsia="Arial" w:cs="Arial"/>
                <w:sz w:val="20"/>
                <w:szCs w:val="20"/>
              </w:rPr>
              <w:t>File WSBA complaint against Gass citing RPC 3.3(b)</w:t>
            </w:r>
          </w:p>
        </w:tc>
        <w:tc>
          <w:tcPr>
            <w:tcW w:w="452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6A1F20">
            <w:r>
              <w:rPr>
                <w:rFonts w:ascii="Arial" w:hAnsi="Arial" w:eastAsia="Arial" w:cs="Arial"/>
                <w:sz w:val="20"/>
                <w:szCs w:val="20"/>
              </w:rPr>
              <w:t>Notified 4/9/24 of fraud; took no remedial action; moved for SJ relying on narrative</w:t>
            </w:r>
          </w:p>
        </w:tc>
      </w:tr>
      <w:tr w14:paraId="716C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1B97072A">
            <w:r>
              <w:rPr>
                <w:rFonts w:hint="default" w:cs="Arial"/>
                <w:sz w:val="20"/>
                <w:szCs w:val="20"/>
                <w:lang w:val="en-US"/>
              </w:rPr>
              <w:t>3</w:t>
            </w:r>
            <w:bookmarkStart w:id="0" w:name="_GoBack"/>
            <w:bookmarkEnd w:id="0"/>
          </w:p>
        </w:tc>
        <w:tc>
          <w:tcPr>
            <w:tcW w:w="4524"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7849FA59">
            <w:r>
              <w:rPr>
                <w:rFonts w:ascii="Arial" w:hAnsi="Arial" w:eastAsia="Arial" w:cs="Arial"/>
                <w:sz w:val="20"/>
                <w:szCs w:val="20"/>
              </w:rPr>
              <w:t>Include in § 1983 complaint as overt act of conspiracy</w:t>
            </w:r>
          </w:p>
        </w:tc>
        <w:tc>
          <w:tcPr>
            <w:tcW w:w="4524" w:type="dxa"/>
            <w:tcBorders>
              <w:top w:val="single" w:color="999999" w:sz="0" w:space="0"/>
              <w:left w:val="single" w:color="999999" w:sz="0" w:space="0"/>
              <w:bottom w:val="single" w:color="999999" w:sz="0" w:space="0"/>
              <w:right w:val="single" w:color="999999" w:sz="0" w:space="0"/>
            </w:tcBorders>
            <w:shd w:val="clear" w:color="auto" w:fill="F9F9F9"/>
            <w:tcMar>
              <w:top w:w="60" w:type="dxa"/>
              <w:left w:w="100" w:type="dxa"/>
              <w:bottom w:w="60" w:type="dxa"/>
              <w:right w:w="100" w:type="dxa"/>
            </w:tcMar>
          </w:tcPr>
          <w:p w14:paraId="70EEFEF1">
            <w:r>
              <w:rPr>
                <w:rFonts w:ascii="Arial" w:hAnsi="Arial" w:eastAsia="Arial" w:cs="Arial"/>
                <w:sz w:val="20"/>
                <w:szCs w:val="20"/>
              </w:rPr>
              <w:t>John Manning’s fabrication + submission to court = overt act under Dennis v. Sparks</w:t>
            </w:r>
          </w:p>
        </w:tc>
      </w:tr>
    </w:tbl>
    <w:p w14:paraId="5A924495">
      <w:pPr>
        <w:pBdr>
          <w:top w:val="single" w:color="2C3E50" w:sz="4" w:space="8"/>
        </w:pBdr>
        <w:spacing w:before="400"/>
      </w:pPr>
    </w:p>
    <w:p w14:paraId="1EEE4A58">
      <w:pPr>
        <w:spacing w:after="60"/>
        <w:jc w:val="center"/>
      </w:pPr>
      <w:r>
        <w:rPr>
          <w:rFonts w:ascii="Arial" w:hAnsi="Arial" w:eastAsia="Arial" w:cs="Arial"/>
          <w:i/>
          <w:iCs/>
          <w:color w:val="666666"/>
          <w:sz w:val="20"/>
          <w:szCs w:val="20"/>
        </w:rPr>
        <w:t>Prepared as attorney work product in support of potential civil rights litigation.</w:t>
      </w:r>
    </w:p>
    <w:p w14:paraId="45DC75ED">
      <w:pPr>
        <w:jc w:val="center"/>
      </w:pPr>
      <w:r>
        <w:rPr>
          <w:rFonts w:ascii="Arial" w:hAnsi="Arial" w:eastAsia="Arial" w:cs="Arial"/>
          <w:i/>
          <w:iCs/>
          <w:color w:val="666666"/>
          <w:sz w:val="20"/>
          <w:szCs w:val="20"/>
        </w:rPr>
        <w:t>February 2026</w:t>
      </w:r>
    </w:p>
    <w:sectPr>
      <w:headerReference r:id="rId3" w:type="default"/>
      <w:footerReference r:id="rId4" w:type="default"/>
      <w:pgSz w:w="12240" w:h="15840"/>
      <w:pgMar w:top="1440" w:right="1296" w:bottom="1296"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34663">
    <w:pPr>
      <w:pBdr>
        <w:top w:val="single" w:color="2C3E50" w:sz="4" w:space="4"/>
      </w:pBdr>
      <w:jc w:val="center"/>
    </w:pPr>
    <w:r>
      <w:rPr>
        <w:rFonts w:ascii="Arial" w:hAnsi="Arial" w:eastAsia="Arial" w:cs="Arial"/>
        <w:color w:val="888888"/>
        <w:sz w:val="16"/>
        <w:szCs w:val="16"/>
      </w:rPr>
      <w:t>Bennett v. Manning — Case No. 23-2-11352-7 / Appeal No. 87007-6-I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0C54E">
    <w:pPr>
      <w:pBdr>
        <w:bottom w:val="single" w:color="2C3E50" w:sz="4" w:space="4"/>
      </w:pBdr>
      <w:jc w:val="right"/>
    </w:pPr>
    <w:r>
      <w:rPr>
        <w:rFonts w:ascii="Arial" w:hAnsi="Arial" w:eastAsia="Arial" w:cs="Arial"/>
        <w:i/>
        <w:iCs/>
        <w:color w:val="888888"/>
        <w:sz w:val="16"/>
        <w:szCs w:val="16"/>
      </w:rPr>
      <w:t>FORENSIC DOCUMENT ANALYSIS — CONFIDENTIAL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20F53B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50"/>
      <w:outlineLvl w:val="0"/>
    </w:pPr>
    <w:rPr>
      <w:rFonts w:ascii="Arial" w:hAnsi="Arial" w:eastAsia="Arial" w:cs="Arial"/>
      <w:b/>
      <w:bCs/>
      <w:color w:val="1A1A2E"/>
      <w:sz w:val="28"/>
      <w:szCs w:val="28"/>
    </w:rPr>
  </w:style>
  <w:style w:type="paragraph" w:styleId="3">
    <w:name w:val="heading 2"/>
    <w:next w:val="1"/>
    <w:qFormat/>
    <w:uiPriority w:val="0"/>
    <w:pPr>
      <w:spacing w:before="240" w:after="120"/>
      <w:outlineLvl w:val="1"/>
    </w:pPr>
    <w:rPr>
      <w:rFonts w:ascii="Arial" w:hAnsi="Arial" w:eastAsia="Arial" w:cs="Arial"/>
      <w:b/>
      <w:bCs/>
      <w:color w:val="2C3E50"/>
      <w:sz w:val="24"/>
      <w:szCs w:val="24"/>
    </w:rPr>
  </w:style>
  <w:style w:type="paragraph" w:styleId="4">
    <w:name w:val="heading 3"/>
    <w:next w:val="1"/>
    <w:qFormat/>
    <w:uiPriority w:val="0"/>
    <w:pPr>
      <w:spacing w:before="200" w:after="100"/>
      <w:outlineLvl w:val="2"/>
    </w:pPr>
    <w:rPr>
      <w:rFonts w:ascii="Arial" w:hAnsi="Arial" w:eastAsia="Arial" w:cs="Arial"/>
      <w:b/>
      <w:bCs/>
      <w:color w:val="34495E"/>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56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2026-03-01T05:08:00Z</dcterms:created>
  <dc:creator>Un-named</dc:creator>
  <cp:lastModifiedBy>Re. Zack Bennett</cp:lastModifiedBy>
  <dcterms:modified xsi:type="dcterms:W3CDTF">2026-03-08T20:18:03Z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D05785D2781E4E2BAD220BF5823FB5FA_12</vt:lpwstr>
  </property>
</Properties>
</file>