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Board Memo — Project Falcon</w:t>
      </w:r>
    </w:p>
    <w:p>
      <w:pPr>
        <w:spacing w:after="120"/>
      </w:pPr>
      <w:r>
        <w:t xml:space="preserve">Strictly restricted. The board is evaluating the acquisition of a regional freight broker.</w:t>
      </w:r>
    </w:p>
    <w:p>
      <w:pPr>
        <w:spacing w:after="120"/>
      </w:pPr>
      <w:r>
        <w:t xml:space="preserve">No sensitive information types are in this file on purpose: DLP must block it because of its Highly Confidential LABEL, not its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2026-10-03T00:52:28.082Z</dcterms:created>
  <dcterms:modified xsi:type="dcterms:W3CDTF">2026-10-03T00:52:28.082Z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