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C00000"/>
          <w:sz w:val="18"/>
          <w:szCs w:val="18"/>
        </w:rPr>
        <w:t xml:space="preserve">LAB TEST DATA — FICTIONAL. Pilot organisation KRU (m365.kingsruleusa.com). All names and numbers are fictional. No real people, accounts or card holders.</w:t>
      </w:r>
    </w:p>
    <w:p>
      <w:pPr>
        <w:pStyle w:val="Heading1"/>
      </w:pPr>
      <w:r>
        <w:t xml:space="preserve">Chargeback Batch — Week 38</w:t>
      </w:r>
    </w:p>
    <w:p>
      <w:pPr>
        <w:spacing w:after="120"/>
      </w:pPr>
      <w:r>
        <w:t xml:space="preserve">The following credit card transactions were disputed this week: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3200"/>
        <w:gridCol w:w="1200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 type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Credit card number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Expiry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CB-1001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Visa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4111 1111 1111 1111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12/29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CB-1002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Mastercard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5555 5555 5555 4444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07/28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CB-1003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Visa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4012 8888 8888 1881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03/30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CB-1004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American Express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3782 822463 10005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11/27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CB-1005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Discover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6011 1111 1111 1117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09/29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CB-1006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Mastercard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5105 1051 0510 5100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01/31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Six card numbers in one file = high-volume payment card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2026-10-03T00:52:28.028Z</dcterms:created>
  <dcterms:modified xsi:type="dcterms:W3CDTF">2026-10-03T00:52:28.028Z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