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C00000"/>
          <w:sz w:val="18"/>
          <w:szCs w:val="18"/>
        </w:rPr>
        <w:t xml:space="preserve">LAB TEST DATA — FICTIONAL. Pilot organisation KRU (m365.kingsruleusa.com). All names and numbers are fictional. No real people, accounts or card holders.</w:t>
      </w:r>
    </w:p>
    <w:p>
      <w:pPr>
        <w:pStyle w:val="Heading1"/>
      </w:pPr>
      <w:r>
        <w:t xml:space="preserve">Q3 Performance Review — Operations Team</w:t>
      </w:r>
    </w:p>
    <w:p>
      <w:pPr>
        <w:spacing w:after="120"/>
      </w:pPr>
      <w:r>
        <w:t xml:space="preserve">Prepared by: HR Business Partner, KRU pilot organisation</w:t>
      </w:r>
    </w:p>
    <w:p>
      <w:pPr>
        <w:spacing w:after="120"/>
      </w:pPr>
      <w:r>
        <w:t xml:space="preserve">Summary: Two team members exceeded targets; one is on a performance improvement plan. Compensation adjustments will be reviewed by the HR committee.</w:t>
      </w:r>
    </w:p>
    <w:p>
      <w:pPr>
        <w:spacing w:after="120"/>
      </w:pPr>
      <w:r>
        <w:t xml:space="preserve">This document is intended for HR and line managers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2026-10-03T00:52:27.961Z</dcterms:created>
  <dcterms:modified xsi:type="dcterms:W3CDTF">2026-10-03T00:52:27.967Z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