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C00000"/>
          <w:sz w:val="18"/>
          <w:szCs w:val="18"/>
        </w:rPr>
        <w:t xml:space="preserve">LAB TEST DATA — FICTIONAL. Pilot organisation KRU (m365.kingsruleusa.com). All names and numbers are fictional. No real people, accounts or card holders.</w:t>
      </w:r>
    </w:p>
    <w:p>
      <w:pPr>
        <w:pStyle w:val="Heading1"/>
      </w:pPr>
      <w:r>
        <w:t xml:space="preserve">KRU Opens New Newark Hub</w:t>
      </w:r>
    </w:p>
    <w:p>
      <w:pPr>
        <w:spacing w:after="120"/>
      </w:pPr>
      <w:r>
        <w:t xml:space="preserve">KRU today announced a new regional distribution hub serving the NJ/NY metro area.</w:t>
      </w:r>
    </w:p>
    <w:p>
      <w:pPr>
        <w:spacing w:after="120"/>
      </w:pPr>
      <w:r>
        <w:t xml:space="preserve">Campaign reference: EMP-12345 (marketing code, five digits — should NOT match the employee ID pattern).</w:t>
      </w:r>
    </w:p>
    <w:p>
      <w:pPr>
        <w:spacing w:after="120"/>
      </w:pPr>
      <w:r>
        <w:t xml:space="preserve">Approved for public release.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2026-10-03T00:52:28.068Z</dcterms:created>
  <dcterms:modified xsi:type="dcterms:W3CDTF">2026-10-03T00:52:28.068Z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