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5"/>
        <w:ind w:left="0" w:right="273"/>
        <w:jc w:val="right"/>
      </w:pPr>
      <w:r>
        <w:t>(r. 11)</w:t>
      </w:r>
    </w:p>
    <w:p>
      <w:pPr>
        <w:spacing w:before="0"/>
        <w:ind w:left="204" w:right="257" w:firstLine="0"/>
        <w:jc w:val="center"/>
        <w:rPr>
          <w:b/>
          <w:sz w:val="20"/>
        </w:rPr>
      </w:pPr>
      <w:r>
        <w:rPr>
          <w:b/>
          <w:sz w:val="20"/>
        </w:rPr>
        <w:t>THIRD SCHEDULE</w:t>
      </w:r>
    </w:p>
    <w:p>
      <w:pPr>
        <w:spacing w:before="115"/>
        <w:ind w:left="204" w:right="1170" w:rightChars="0" w:firstLine="900" w:firstLineChars="450"/>
        <w:jc w:val="left"/>
        <w:rPr>
          <w:b/>
          <w:sz w:val="20"/>
        </w:rPr>
      </w:pPr>
      <w:r>
        <w:rPr>
          <w:b/>
          <w:sz w:val="20"/>
        </w:rPr>
        <w:t>STANDARDS FOR EFFLUENT DISCHARGE INTO TH</w:t>
      </w:r>
      <w:r>
        <w:rPr>
          <w:rFonts w:hint="default"/>
          <w:b/>
          <w:sz w:val="20"/>
          <w:lang w:val="en-US"/>
        </w:rPr>
        <w:t xml:space="preserve"> </w:t>
      </w:r>
      <w:r>
        <w:rPr>
          <w:b/>
          <w:sz w:val="20"/>
        </w:rPr>
        <w:t>ENVIRONMENT</w:t>
      </w:r>
    </w:p>
    <w:tbl>
      <w:tblPr>
        <w:tblStyle w:val="4"/>
        <w:tblW w:w="954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39"/>
        <w:gridCol w:w="23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Allowable</w:t>
            </w:r>
          </w:p>
          <w:p>
            <w:pPr>
              <w:pStyle w:val="8"/>
              <w:spacing w:line="240" w:lineRule="auto"/>
              <w:jc w:val="center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Limits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(max)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Arsenic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Arsenic and its compounds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Benzene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Biochemical Oxygen Demand (BOD 5days at 20 </w:t>
            </w:r>
            <w:r>
              <w:rPr>
                <w:color w:val="0000FF"/>
                <w:sz w:val="24"/>
                <w:szCs w:val="24"/>
                <w:vertAlign w:val="superscript"/>
              </w:rPr>
              <w:t>o</w:t>
            </w:r>
            <w:r>
              <w:rPr>
                <w:color w:val="0000FF"/>
                <w:sz w:val="24"/>
                <w:szCs w:val="24"/>
                <w:vertAlign w:val="baseline"/>
              </w:rPr>
              <w:t>C)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w w:val="95"/>
                <w:sz w:val="24"/>
                <w:szCs w:val="24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Boron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Boron and its compounds – non marine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Boron and its compounds –marine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Cadmium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Cadmium and its compounds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Carbon tetrachloride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Chemical Oxygen Demand (COD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Chromium VI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Chloride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250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Chromium total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cis –1,2- dichloro ethylene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Copper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tabs>
                <w:tab w:val="left" w:leader="hyphen" w:pos="2057"/>
              </w:tabs>
              <w:spacing w:line="240" w:lineRule="auto"/>
              <w:jc w:val="left"/>
              <w:rPr>
                <w:color w:val="0000FF"/>
                <w:sz w:val="24"/>
                <w:szCs w:val="24"/>
                <w:highlight w:val="none"/>
              </w:rPr>
            </w:pPr>
            <w:r>
              <w:rPr>
                <w:color w:val="0000FF"/>
                <w:sz w:val="24"/>
                <w:szCs w:val="24"/>
                <w:highlight w:val="none"/>
              </w:rPr>
              <w:t>Dichloromethane (mg/l)</w:t>
            </w:r>
          </w:p>
        </w:tc>
        <w:tc>
          <w:tcPr>
            <w:tcW w:w="0" w:type="auto"/>
          </w:tcPr>
          <w:p>
            <w:pPr>
              <w:pStyle w:val="8"/>
              <w:tabs>
                <w:tab w:val="left" w:leader="hyphen" w:pos="2057"/>
              </w:tabs>
              <w:spacing w:line="240" w:lineRule="auto"/>
              <w:jc w:val="center"/>
              <w:rPr>
                <w:color w:val="0000FF"/>
                <w:sz w:val="24"/>
                <w:szCs w:val="24"/>
                <w:highlight w:val="none"/>
              </w:rPr>
            </w:pPr>
            <w:r>
              <w:rPr>
                <w:color w:val="0000FF"/>
                <w:sz w:val="24"/>
                <w:szCs w:val="24"/>
                <w:highlight w:val="none"/>
              </w:rPr>
              <w:t>0.2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0" w:type="auto"/>
          </w:tcPr>
          <w:p>
            <w:pPr>
              <w:pStyle w:val="8"/>
              <w:tabs>
                <w:tab w:val="left" w:leader="hyphen" w:pos="2057"/>
              </w:tabs>
              <w:spacing w:line="240" w:lineRule="auto"/>
              <w:jc w:val="left"/>
              <w:rPr>
                <w:color w:val="0000FF"/>
                <w:sz w:val="24"/>
                <w:szCs w:val="24"/>
                <w:highlight w:val="none"/>
              </w:rPr>
            </w:pPr>
            <w:r>
              <w:rPr>
                <w:color w:val="0000FF"/>
                <w:sz w:val="24"/>
                <w:szCs w:val="24"/>
                <w:highlight w:val="none"/>
              </w:rPr>
              <w:t>Dissolved iron (mg/l)</w:t>
            </w:r>
          </w:p>
        </w:tc>
        <w:tc>
          <w:tcPr>
            <w:tcW w:w="0" w:type="auto"/>
          </w:tcPr>
          <w:p>
            <w:pPr>
              <w:pStyle w:val="8"/>
              <w:tabs>
                <w:tab w:val="left" w:leader="hyphen" w:pos="2057"/>
              </w:tabs>
              <w:spacing w:line="240" w:lineRule="auto"/>
              <w:jc w:val="center"/>
              <w:rPr>
                <w:color w:val="0000FF"/>
                <w:sz w:val="24"/>
                <w:szCs w:val="24"/>
                <w:highlight w:val="none"/>
              </w:rPr>
            </w:pPr>
            <w:r>
              <w:rPr>
                <w:color w:val="0000FF"/>
                <w:sz w:val="24"/>
                <w:szCs w:val="24"/>
                <w:highlight w:val="none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tabs>
                <w:tab w:val="left" w:leader="hyphen" w:pos="2057"/>
              </w:tabs>
              <w:spacing w:line="240" w:lineRule="auto"/>
              <w:jc w:val="left"/>
              <w:rPr>
                <w:color w:val="0000FF"/>
                <w:sz w:val="24"/>
                <w:szCs w:val="24"/>
                <w:highlight w:val="none"/>
              </w:rPr>
            </w:pPr>
            <w:r>
              <w:rPr>
                <w:color w:val="0000FF"/>
                <w:sz w:val="24"/>
                <w:szCs w:val="24"/>
                <w:highlight w:val="none"/>
              </w:rPr>
              <w:t>Dissolved Manganese(mg/l)</w:t>
            </w:r>
          </w:p>
        </w:tc>
        <w:tc>
          <w:tcPr>
            <w:tcW w:w="0" w:type="auto"/>
          </w:tcPr>
          <w:p>
            <w:pPr>
              <w:pStyle w:val="8"/>
              <w:tabs>
                <w:tab w:val="left" w:leader="hyphen" w:pos="2057"/>
              </w:tabs>
              <w:spacing w:line="240" w:lineRule="auto"/>
              <w:jc w:val="center"/>
              <w:rPr>
                <w:color w:val="0000FF"/>
                <w:sz w:val="24"/>
                <w:szCs w:val="24"/>
                <w:highlight w:val="none"/>
              </w:rPr>
            </w:pPr>
            <w:r>
              <w:rPr>
                <w:color w:val="0000FF"/>
                <w:sz w:val="24"/>
                <w:szCs w:val="24"/>
                <w:highlight w:val="none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Fluoride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Fluoride and its compounds (marine and non-marine)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n-Hexane extracts (animal and vegetable fats)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n-Hexane extracts (mineral oil)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Organo-Phosphorus compounds (parathion,methyl parathion,methyl demeton and Ethyl parantrophenyl</w:t>
            </w:r>
          </w:p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phenylphosphorothroate, EPN only)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Polychlorinated biphenyls, PCBs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tabs>
                <w:tab w:val="left" w:leader="hyphen" w:pos="2057"/>
              </w:tabs>
              <w:spacing w:line="240" w:lineRule="auto"/>
              <w:rPr>
                <w:color w:val="0000FF"/>
                <w:sz w:val="24"/>
                <w:szCs w:val="24"/>
                <w:highlight w:val="none"/>
              </w:rPr>
            </w:pPr>
            <w:r>
              <w:rPr>
                <w:color w:val="0000FF"/>
                <w:sz w:val="24"/>
                <w:szCs w:val="24"/>
                <w:highlight w:val="none"/>
              </w:rPr>
              <w:t>pH ( Hydrogen</w:t>
            </w:r>
            <w:r>
              <w:rPr>
                <w:color w:val="0000FF"/>
                <w:spacing w:val="-4"/>
                <w:sz w:val="24"/>
                <w:szCs w:val="24"/>
                <w:highlight w:val="none"/>
              </w:rPr>
              <w:t xml:space="preserve"> </w:t>
            </w:r>
            <w:r>
              <w:rPr>
                <w:color w:val="0000FF"/>
                <w:sz w:val="24"/>
                <w:szCs w:val="24"/>
                <w:highlight w:val="none"/>
              </w:rPr>
              <w:t>ion</w:t>
            </w:r>
            <w:r>
              <w:rPr>
                <w:color w:val="0000FF"/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color w:val="0000FF"/>
                <w:sz w:val="24"/>
                <w:szCs w:val="24"/>
                <w:highlight w:val="none"/>
              </w:rPr>
              <w:t>activity</w:t>
            </w:r>
            <w:r>
              <w:rPr>
                <w:color w:val="0000FF"/>
                <w:sz w:val="24"/>
                <w:szCs w:val="24"/>
                <w:highlight w:val="none"/>
              </w:rPr>
              <w:tab/>
            </w:r>
            <w:r>
              <w:rPr>
                <w:color w:val="0000FF"/>
                <w:sz w:val="24"/>
                <w:szCs w:val="24"/>
                <w:highlight w:val="none"/>
              </w:rPr>
              <w:t>marine)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color w:val="0000FF"/>
                <w:sz w:val="24"/>
                <w:szCs w:val="24"/>
                <w:highlight w:val="none"/>
              </w:rPr>
            </w:pPr>
            <w:r>
              <w:rPr>
                <w:color w:val="0000FF"/>
                <w:sz w:val="24"/>
                <w:szCs w:val="24"/>
                <w:highlight w:val="none"/>
              </w:rPr>
              <w:t>5.0-9.0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tabs>
                <w:tab w:val="left" w:leader="hyphen" w:pos="2057"/>
              </w:tabs>
              <w:spacing w:line="240" w:lineRule="auto"/>
              <w:rPr>
                <w:color w:val="0000FF"/>
                <w:sz w:val="24"/>
                <w:szCs w:val="24"/>
                <w:highlight w:val="none"/>
              </w:rPr>
            </w:pPr>
            <w:r>
              <w:rPr>
                <w:color w:val="0000FF"/>
                <w:sz w:val="24"/>
                <w:szCs w:val="24"/>
                <w:highlight w:val="none"/>
              </w:rPr>
              <w:t>pH ( Hydrogen ion activity--non marine)</w:t>
            </w:r>
          </w:p>
        </w:tc>
        <w:tc>
          <w:tcPr>
            <w:tcW w:w="0" w:type="auto"/>
          </w:tcPr>
          <w:p>
            <w:pPr>
              <w:pStyle w:val="8"/>
              <w:tabs>
                <w:tab w:val="left" w:leader="hyphen" w:pos="2057"/>
              </w:tabs>
              <w:spacing w:line="240" w:lineRule="auto"/>
              <w:jc w:val="center"/>
              <w:rPr>
                <w:color w:val="0000FF"/>
                <w:sz w:val="24"/>
                <w:szCs w:val="24"/>
                <w:highlight w:val="none"/>
              </w:rPr>
            </w:pPr>
            <w:r>
              <w:rPr>
                <w:color w:val="0000FF"/>
                <w:sz w:val="24"/>
                <w:szCs w:val="24"/>
                <w:highlight w:val="none"/>
              </w:rPr>
              <w:t>5-8.5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Phenols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Selenium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7239" w:type="dxa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Selenium and its compounds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7239" w:type="dxa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Hexavalent Chromium VI compounds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Sulphide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Suspended Solids,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Tetrachloroethylene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 (in degrees celious) based on ambient temperature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rFonts w:ascii="Symbol" w:hAnsi="Symbol"/>
                <w:sz w:val="24"/>
                <w:szCs w:val="24"/>
              </w:rPr>
              <w:t></w:t>
            </w:r>
            <w:r>
              <w:rPr>
                <w:sz w:val="24"/>
                <w:szCs w:val="24"/>
              </w:rPr>
              <w:t xml:space="preserve">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Thiram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coliforms ( counts /100 ml)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Nickel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bookmarkStart w:id="0" w:name="_GoBack" w:colFirst="0" w:colLast="1"/>
            <w:r>
              <w:rPr>
                <w:sz w:val="24"/>
                <w:szCs w:val="24"/>
              </w:rPr>
              <w:t>Total Dissolved solids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1200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ind w:left="1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 in Hazen Units (H.U)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Detergents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Nil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mercury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Trichloroethylene (mg/l)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Nitrogen</w:t>
            </w:r>
          </w:p>
        </w:tc>
        <w:tc>
          <w:tcPr>
            <w:tcW w:w="0" w:type="auto"/>
          </w:tcPr>
          <w:p>
            <w:pPr>
              <w:pStyle w:val="8"/>
              <w:spacing w:line="240" w:lineRule="auto"/>
              <w:ind w:left="0" w:righ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Guideline 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vAlign w:val="top"/>
          </w:tcPr>
          <w:p>
            <w:pPr>
              <w:pStyle w:val="8"/>
              <w:spacing w:line="240" w:lineRule="auto"/>
              <w:ind w:left="107" w:leftChars="0" w:right="0" w:rightChars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en-US"/>
              </w:rPr>
            </w:pPr>
            <w:r>
              <w:rPr>
                <w:sz w:val="24"/>
                <w:szCs w:val="24"/>
              </w:rPr>
              <w:t>1,1,2-trichloethane (mg/l)</w:t>
            </w:r>
          </w:p>
        </w:tc>
        <w:tc>
          <w:tcPr>
            <w:tcW w:w="2301" w:type="dxa"/>
            <w:vAlign w:val="top"/>
          </w:tcPr>
          <w:p>
            <w:pPr>
              <w:pStyle w:val="8"/>
              <w:spacing w:line="240" w:lineRule="auto"/>
              <w:ind w:left="0" w:leftChars="0" w:right="96" w:right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vAlign w:val="top"/>
          </w:tcPr>
          <w:p>
            <w:pPr>
              <w:pStyle w:val="8"/>
              <w:spacing w:line="240" w:lineRule="auto"/>
              <w:ind w:left="107" w:leftChars="0" w:right="0" w:rightChars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en-US"/>
              </w:rPr>
            </w:pPr>
            <w:r>
              <w:rPr>
                <w:sz w:val="24"/>
                <w:szCs w:val="24"/>
              </w:rPr>
              <w:t>1,1-dichloroethylene</w:t>
            </w:r>
          </w:p>
        </w:tc>
        <w:tc>
          <w:tcPr>
            <w:tcW w:w="2301" w:type="dxa"/>
            <w:vAlign w:val="top"/>
          </w:tcPr>
          <w:p>
            <w:pPr>
              <w:pStyle w:val="8"/>
              <w:spacing w:line="240" w:lineRule="auto"/>
              <w:ind w:left="0" w:leftChars="0" w:right="96" w:right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vAlign w:val="top"/>
          </w:tcPr>
          <w:p>
            <w:pPr>
              <w:pStyle w:val="8"/>
              <w:spacing w:line="240" w:lineRule="auto"/>
              <w:ind w:left="107" w:leftChars="0" w:right="0" w:rightChars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en-US"/>
              </w:rPr>
            </w:pPr>
            <w:r>
              <w:rPr>
                <w:sz w:val="24"/>
                <w:szCs w:val="24"/>
              </w:rPr>
              <w:t>1,2-dichloroethane</w:t>
            </w:r>
          </w:p>
        </w:tc>
        <w:tc>
          <w:tcPr>
            <w:tcW w:w="2301" w:type="dxa"/>
            <w:vAlign w:val="top"/>
          </w:tcPr>
          <w:p>
            <w:pPr>
              <w:pStyle w:val="8"/>
              <w:spacing w:line="240" w:lineRule="auto"/>
              <w:ind w:left="0" w:leftChars="0" w:right="96" w:right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vAlign w:val="top"/>
          </w:tcPr>
          <w:p>
            <w:pPr>
              <w:pStyle w:val="8"/>
              <w:spacing w:line="240" w:lineRule="auto"/>
              <w:ind w:left="107" w:leftChars="0" w:right="0" w:rightChars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en-US"/>
              </w:rPr>
            </w:pPr>
            <w:r>
              <w:rPr>
                <w:sz w:val="24"/>
                <w:szCs w:val="24"/>
              </w:rPr>
              <w:t>1,3-dichloropropene (mg/l)</w:t>
            </w:r>
          </w:p>
        </w:tc>
        <w:tc>
          <w:tcPr>
            <w:tcW w:w="2301" w:type="dxa"/>
            <w:vAlign w:val="top"/>
          </w:tcPr>
          <w:p>
            <w:pPr>
              <w:pStyle w:val="8"/>
              <w:spacing w:line="240" w:lineRule="auto"/>
              <w:ind w:left="0" w:leftChars="0" w:right="96" w:right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vAlign w:val="top"/>
          </w:tcPr>
          <w:p>
            <w:pPr>
              <w:pStyle w:val="8"/>
              <w:spacing w:line="240" w:lineRule="auto"/>
              <w:ind w:left="107" w:leftChars="0" w:right="0" w:rightChars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en-US"/>
              </w:rPr>
            </w:pPr>
            <w:r>
              <w:rPr>
                <w:sz w:val="24"/>
                <w:szCs w:val="24"/>
              </w:rPr>
              <w:t>Alkyl Mercury compounds</w:t>
            </w:r>
          </w:p>
        </w:tc>
        <w:tc>
          <w:tcPr>
            <w:tcW w:w="2301" w:type="dxa"/>
            <w:vAlign w:val="top"/>
          </w:tcPr>
          <w:p>
            <w:pPr>
              <w:pStyle w:val="8"/>
              <w:spacing w:line="240" w:lineRule="auto"/>
              <w:ind w:left="0" w:leftChars="0" w:right="96" w:rightChars="0"/>
              <w:jc w:val="center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vAlign w:val="top"/>
          </w:tcPr>
          <w:p>
            <w:pPr>
              <w:pStyle w:val="8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Ammonia, ammonium compounds, NO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baseline"/>
              </w:rPr>
              <w:t xml:space="preserve"> compounds and NO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  <w:vertAlign w:val="baseline"/>
              </w:rPr>
              <w:t xml:space="preserve"> compounds</w:t>
            </w:r>
          </w:p>
          <w:p>
            <w:pPr>
              <w:pStyle w:val="8"/>
              <w:spacing w:before="1" w:line="240" w:lineRule="auto"/>
              <w:ind w:left="147" w:leftChars="0" w:right="0" w:rightChars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en-US"/>
              </w:rPr>
            </w:pPr>
            <w:r>
              <w:rPr>
                <w:sz w:val="24"/>
                <w:szCs w:val="24"/>
              </w:rPr>
              <w:t>(Sum total of ammonia-N times 4 plus nitrate-N and Nitrite-N) (mg/l)</w:t>
            </w:r>
          </w:p>
        </w:tc>
        <w:tc>
          <w:tcPr>
            <w:tcW w:w="2301" w:type="dxa"/>
            <w:vAlign w:val="top"/>
          </w:tcPr>
          <w:p>
            <w:pPr>
              <w:pStyle w:val="8"/>
              <w:spacing w:line="240" w:lineRule="auto"/>
              <w:ind w:left="0" w:leftChars="0" w:right="96" w:rightChars="0"/>
              <w:jc w:val="center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100</w:t>
            </w:r>
          </w:p>
        </w:tc>
      </w:tr>
    </w:tbl>
    <w:p>
      <w:pPr>
        <w:spacing w:before="0" w:line="360" w:lineRule="auto"/>
        <w:ind w:left="220" w:right="2871" w:firstLine="0"/>
        <w:jc w:val="left"/>
        <w:rPr>
          <w:b/>
          <w:sz w:val="18"/>
        </w:rPr>
      </w:pPr>
      <w:r>
        <w:rPr>
          <w:b/>
          <w:sz w:val="18"/>
        </w:rPr>
        <w:t>And any other parameters as may be prescribed by the Authority from time to time Remarks</w:t>
      </w:r>
    </w:p>
    <w:p>
      <w:pPr>
        <w:pStyle w:val="5"/>
        <w:ind w:left="220"/>
      </w:pPr>
      <w:r>
        <w:t>Standard values are daily/monthly average discharge values. Not detectable (nd) means that the pollution status is below the detectable level by the measurement methods established by the Authority.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3"/>
        </w:rPr>
      </w:pPr>
    </w:p>
    <w:p>
      <w:pPr>
        <w:spacing w:before="90"/>
        <w:ind w:left="0" w:right="273" w:firstLine="0"/>
        <w:jc w:val="right"/>
        <w:rPr>
          <w:sz w:val="24"/>
        </w:rPr>
      </w:pPr>
      <w:r>
        <w:rPr>
          <w:sz w:val="24"/>
        </w:rPr>
        <w:t>11</w:t>
      </w:r>
    </w:p>
    <w:sectPr>
      <w:type w:val="continuous"/>
      <w:pgSz w:w="11910" w:h="16840"/>
      <w:pgMar w:top="500" w:right="116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75142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04" w:right="257"/>
      <w:jc w:val="center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18"/>
      <w:szCs w:val="18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164" w:lineRule="exact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ScaleCrop>false</ScaleCrop>
  <LinksUpToDate>false</LinksUpToDate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2021-09-22T11:26:00Z</dcterms:created>
  <dc:creator>Administrator</dc:creator>
  <cp:lastModifiedBy>18100102197</cp:lastModifiedBy>
  <dcterms:modified xsi:type="dcterms:W3CDTF">2021-09-22T16:34:57Z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