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502920" cy="502920"/>
            <wp:docPr id="1" name="Picture 1"/>
            <wp:cNvGraphicFramePr>
              <a:graphicFrameLocks noChangeAspect="1"/>
            </wp:cNvGraphicFramePr>
            <a:graphic>
              <a:graphicData uri="http://schemas.openxmlformats.org/drawingml/2006/picture">
                <pic:pic>
                  <pic:nvPicPr>
                    <pic:cNvPr id="0" name="osai_portal_logo.png"/>
                    <pic:cNvPicPr/>
                  </pic:nvPicPr>
                  <pic:blipFill>
                    <a:blip r:embed="rId11"/>
                    <a:stretch>
                      <a:fillRect/>
                    </a:stretch>
                  </pic:blipFill>
                  <pic:spPr>
                    <a:xfrm>
                      <a:off x="0" y="0"/>
                      <a:ext cx="502920" cy="502920"/>
                    </a:xfrm>
                    <a:prstGeom prst="rect"/>
                  </pic:spPr>
                </pic:pic>
              </a:graphicData>
            </a:graphic>
          </wp:inline>
        </w:drawing>
      </w:r>
    </w:p>
    <w:p>
      <w:pPr>
        <w:pStyle w:val="OsaiMono"/>
      </w:pPr>
      <w:r>
        <w:t>SYSTEM ARCHITECT / BACKEND ENGINEER BRIEF</w:t>
        <w:br/>
        <w:t>BUILD AUTHORITY • V1 → NETWORK</w:t>
      </w:r>
    </w:p>
    <w:p>
      <w:pPr>
        <w:spacing w:before="520"/>
      </w:pPr>
      <w:r>
        <w:rPr>
          <w:rFonts w:ascii="Aptos Display" w:hAnsi="Aptos Display"/>
          <w:b/>
          <w:color w:val="101417"/>
          <w:sz w:val="68"/>
        </w:rPr>
        <w:t>Build the financial core</w:t>
        <w:br/>
        <w:t>that turns one instruction</w:t>
        <w:br/>
        <w:t>into final settlement.</w:t>
      </w:r>
    </w:p>
    <w:p>
      <w:r>
        <w:rPr>
          <w:b/>
          <w:color w:val="3157FF"/>
          <w:sz w:val="32"/>
        </w:rPr>
        <w:t>Technical Handoff for Osai</w:t>
      </w:r>
    </w:p>
    <w:p>
      <w:pPr>
        <w:spacing w:before="160"/>
      </w:pPr>
      <w:r>
        <w:t>This document is the engineering source of truth for the first production system. It defines what must be built, what must not be faked, system boundaries, financial invariants, services, data models, APIs, security controls, failure handling, deployment expectations, and the delivery sequence.</w:t>
      </w:r>
    </w:p>
    <w:tbl>
      <w:tblPr>
        <w:tblW w:type="auto" w:w="0"/>
        <w:jc w:val="left"/>
        <w:tblLayout w:type="fixed"/>
        <w:tblLook w:firstColumn="1" w:firstRow="1" w:lastColumn="0" w:lastRow="0" w:noHBand="0" w:noVBand="1" w:val="04A0"/>
      </w:tblPr>
      <w:tblGrid>
        <w:gridCol w:w="3408"/>
        <w:gridCol w:w="3408"/>
        <w:gridCol w:w="3408"/>
      </w:tblGrid>
      <w:tr>
        <w:tc>
          <w:tcPr>
            <w:tcW w:type="dxa" w:w="3408"/>
            <w:shd w:fill="101417"/>
            <w:tcMar>
              <w:top w:w="120" w:type="dxa"/>
              <w:start w:w="140" w:type="dxa"/>
              <w:bottom w:w="120" w:type="dxa"/>
              <w:end w:w="140" w:type="dxa"/>
            </w:tcMar>
          </w:tcPr>
          <w:p>
            <w:r>
              <w:rPr>
                <w:b/>
                <w:color w:val="F3F1EA"/>
                <w:sz w:val="14"/>
              </w:rPr>
              <w:t>CUSTOMER INPUT</w:t>
            </w:r>
          </w:p>
        </w:tc>
        <w:tc>
          <w:tcPr>
            <w:tcW w:type="dxa" w:w="3408"/>
            <w:shd w:fill="101417"/>
            <w:tcMar>
              <w:top w:w="120" w:type="dxa"/>
              <w:start w:w="140" w:type="dxa"/>
              <w:bottom w:w="120" w:type="dxa"/>
              <w:end w:w="140" w:type="dxa"/>
            </w:tcMar>
          </w:tcPr>
          <w:p>
            <w:r>
              <w:rPr>
                <w:b/>
                <w:color w:val="F3F1EA"/>
                <w:sz w:val="14"/>
              </w:rPr>
              <w:t>OSAI OWNS</w:t>
            </w:r>
          </w:p>
        </w:tc>
        <w:tc>
          <w:tcPr>
            <w:tcW w:type="dxa" w:w="3408"/>
            <w:shd w:fill="101417"/>
            <w:tcMar>
              <w:top w:w="120" w:type="dxa"/>
              <w:start w:w="140" w:type="dxa"/>
              <w:bottom w:w="120" w:type="dxa"/>
              <w:end w:w="140" w:type="dxa"/>
            </w:tcMar>
          </w:tcPr>
          <w:p>
            <w:r>
              <w:rPr>
                <w:b/>
                <w:color w:val="F3F1EA"/>
                <w:sz w:val="14"/>
              </w:rPr>
              <w:t>UNDERLYING PARTNERS</w:t>
            </w:r>
          </w:p>
        </w:tc>
      </w:tr>
      <w:tr>
        <w:tc>
          <w:tcPr>
            <w:tcW w:type="dxa" w:w="3408"/>
            <w:shd w:fill="F7F8FA"/>
            <w:tcMar>
              <w:top w:w="120" w:type="dxa"/>
              <w:start w:w="140" w:type="dxa"/>
              <w:bottom w:w="120" w:type="dxa"/>
              <w:end w:w="140" w:type="dxa"/>
            </w:tcMar>
          </w:tcPr>
          <w:p>
            <w:r>
              <w:rPr>
                <w:b/>
                <w:color w:val="101417"/>
                <w:sz w:val="16"/>
              </w:rPr>
              <w:t>“Convert X and settle Y there.”</w:t>
            </w:r>
          </w:p>
        </w:tc>
        <w:tc>
          <w:tcPr>
            <w:tcW w:type="dxa" w:w="3408"/>
            <w:shd w:fill="F7F8FA"/>
            <w:tcMar>
              <w:top w:w="120" w:type="dxa"/>
              <w:start w:w="140" w:type="dxa"/>
              <w:bottom w:w="120" w:type="dxa"/>
              <w:end w:w="140" w:type="dxa"/>
            </w:tcMar>
          </w:tcPr>
          <w:p>
            <w:r>
              <w:rPr>
                <w:b/>
                <w:color w:val="101417"/>
                <w:sz w:val="16"/>
              </w:rPr>
              <w:t>Quote → Liquidity → Execution → Settlement → Ledger → Reconciliation</w:t>
            </w:r>
          </w:p>
        </w:tc>
        <w:tc>
          <w:tcPr>
            <w:tcW w:type="dxa" w:w="3408"/>
            <w:shd w:fill="F7F8FA"/>
            <w:tcMar>
              <w:top w:w="120" w:type="dxa"/>
              <w:start w:w="140" w:type="dxa"/>
              <w:bottom w:w="120" w:type="dxa"/>
              <w:end w:w="140" w:type="dxa"/>
            </w:tcMar>
          </w:tcPr>
          <w:p>
            <w:r>
              <w:rPr>
                <w:b/>
                <w:color w:val="101417"/>
                <w:sz w:val="16"/>
              </w:rPr>
              <w:t>Banks • LPs • VASPs • PSPs • Local rails</w:t>
            </w:r>
          </w:p>
        </w:tc>
      </w:tr>
    </w:tbl>
    <w:p>
      <w:pPr>
        <w:pStyle w:val="OsaiMono"/>
        <w:spacing w:before="440"/>
      </w:pPr>
      <w:r>
        <w:t>OWNER / FOUNDER</w:t>
        <w:br/>
        <w:t>AUDIENCE / SYSTEM ARCHITECT • BACKEND ENGINEER</w:t>
        <w:br/>
        <w:t>STATUS / BUILD BRIEF</w:t>
        <w:br/>
        <w:t>PRIORITY / FINANCIAL CORRECTNESS &gt; FEATURE BREADTH</w:t>
      </w:r>
    </w:p>
    <w:p>
      <w:r>
        <w:br w:type="page"/>
      </w:r>
    </w:p>
    <w:p>
      <w:pPr>
        <w:pStyle w:val="OsaiMono"/>
      </w:pPr>
      <w:r>
        <w:t>01 / BUILD MANDATE</w:t>
      </w:r>
    </w:p>
    <w:p>
      <w:pPr>
        <w:pStyle w:val="Heading1"/>
      </w:pPr>
      <w:r>
        <w:t>1. Mission and non-negotiable outcome</w:t>
      </w:r>
    </w:p>
    <w:p>
      <w:r>
        <w:t>The engineer is not building a generic payments API. The engineer is building the financial control plane for institutional FX execution and settlement.</w:t>
      </w:r>
    </w:p>
    <w:p>
      <w:r>
        <w:t>A client must be able to submit one instruction such as: “I have NGN 1.5bn. I need USD settled to beneficiary/account X.” Osai must price the request, choose an eligible liquidity source, reserve the quote, coordinate both money legs, track every state change, settle, reconcile external evidence, and produce an immutable financial record.</w:t>
      </w:r>
    </w:p>
    <w:p>
      <w:pPr>
        <w:pStyle w:val="Heading2"/>
      </w:pPr>
      <w:r>
        <w:t>The V1 success test</w:t>
      </w:r>
    </w:p>
    <w:p>
      <w:pPr>
        <w:pStyle w:val="ListBullet"/>
        <w:spacing w:after="40"/>
      </w:pPr>
      <w:r>
        <w:t>One funded institutional customer can request a quote and receive an executable response with expiry, fees, settlement terms, and route metadata.</w:t>
      </w:r>
    </w:p>
    <w:p>
      <w:pPr>
        <w:pStyle w:val="ListBullet"/>
        <w:spacing w:after="40"/>
      </w:pPr>
      <w:r>
        <w:t>Once accepted, the trade moves through a deterministic state machine until SETTLED, FAILED, CANCELLED, or REVERSED.</w:t>
      </w:r>
    </w:p>
    <w:p>
      <w:pPr>
        <w:pStyle w:val="ListBullet"/>
        <w:spacing w:after="40"/>
      </w:pPr>
      <w:r>
        <w:t>Every monetary movement is represented in the double-entry ledger before any balance is exposed to the customer.</w:t>
      </w:r>
    </w:p>
    <w:p>
      <w:pPr>
        <w:pStyle w:val="ListBullet"/>
        <w:spacing w:after="40"/>
      </w:pPr>
      <w:r>
        <w:t>Provider callbacks and retries cannot create duplicate transfers or duplicate accounting entries.</w:t>
      </w:r>
    </w:p>
    <w:p>
      <w:pPr>
        <w:pStyle w:val="ListBullet"/>
        <w:spacing w:after="40"/>
      </w:pPr>
      <w:r>
        <w:t>At end of day, internal books can be reconciled against every bank/provider statement and any break is visible, owned, and aged.</w:t>
      </w:r>
    </w:p>
    <w:p>
      <w:pPr>
        <w:pStyle w:val="ListBullet"/>
        <w:spacing w:after="40"/>
      </w:pPr>
      <w:r>
        <w:t>No operator needs to “fix the database” to resolve a normal settlement exception.</w:t>
      </w:r>
    </w:p>
    <w:p>
      <w:pPr>
        <w:pStyle w:val="Heading2"/>
      </w:pPr>
      <w:r>
        <w:t>Do not build these first</w:t>
      </w:r>
    </w:p>
    <w:p>
      <w:pPr>
        <w:pStyle w:val="ListBullet"/>
        <w:spacing w:after="40"/>
      </w:pPr>
      <w:r>
        <w:t>Consumer wallet or retail remittance app.</w:t>
      </w:r>
    </w:p>
    <w:p>
      <w:pPr>
        <w:pStyle w:val="ListBullet"/>
        <w:spacing w:after="40"/>
      </w:pPr>
      <w:r>
        <w:t>Cards, lending, consumer savings, merchant checkout.</w:t>
      </w:r>
    </w:p>
    <w:p>
      <w:pPr>
        <w:pStyle w:val="ListBullet"/>
        <w:spacing w:after="40"/>
      </w:pPr>
      <w:r>
        <w:t>A proprietary blockchain or token.</w:t>
      </w:r>
    </w:p>
    <w:p>
      <w:pPr>
        <w:pStyle w:val="ListBullet"/>
        <w:spacing w:after="40"/>
      </w:pPr>
      <w:r>
        <w:t>A matching engine before the settlement and ledger core are correct.</w:t>
      </w:r>
    </w:p>
    <w:p>
      <w:pPr>
        <w:pStyle w:val="ListBullet"/>
        <w:spacing w:after="40"/>
      </w:pPr>
      <w:r>
        <w:t>A beautiful dashboard that hides weak financial state management.</w:t>
      </w:r>
    </w:p>
    <w:p>
      <w:pPr>
        <w:pStyle w:val="ListBullet"/>
        <w:spacing w:after="40"/>
      </w:pPr>
      <w:r>
        <w:t>A monolith of provider-specific code with no adapter contract.</w:t>
      </w:r>
    </w:p>
    <w:p>
      <w:r>
        <w:br w:type="page"/>
      </w:r>
    </w:p>
    <w:p>
      <w:pPr>
        <w:pStyle w:val="OsaiMono"/>
      </w:pPr>
      <w:r>
        <w:t>02 / SYSTEM FLOW</w:t>
      </w:r>
    </w:p>
    <w:p>
      <w:pPr>
        <w:pStyle w:val="Heading1"/>
      </w:pPr>
      <w:r>
        <w:t>2. Product boundary and end-to-end transaction</w:t>
      </w:r>
    </w:p>
    <w:p>
      <w:r>
        <w:t>Osai owns the workflow from institutional instruction to settlement evidence. Regulated banks, liquidity providers, VASPs, PSPs and local rails may execute parts of the transaction underneath Osai, but the customer experiences one coherent Osai execution lifecycle.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728"/>
            <w:shd w:fill="101417"/>
            <w:tcMar>
              <w:top w:w="120" w:type="dxa"/>
              <w:start w:w="140" w:type="dxa"/>
              <w:bottom w:w="120" w:type="dxa"/>
              <w:end w:w="140" w:type="dxa"/>
            </w:tcMar>
          </w:tcPr>
          <w:p>
            <w:r>
              <w:rPr>
                <w:b/>
                <w:color w:val="F3F1EA"/>
                <w:sz w:val="15"/>
              </w:rPr>
              <w:t>STEP</w:t>
            </w:r>
          </w:p>
        </w:tc>
        <w:tc>
          <w:tcPr>
            <w:tcW w:type="dxa" w:w="6336"/>
            <w:shd w:fill="101417"/>
            <w:tcMar>
              <w:top w:w="120" w:type="dxa"/>
              <w:start w:w="140" w:type="dxa"/>
              <w:bottom w:w="120" w:type="dxa"/>
              <w:end w:w="140" w:type="dxa"/>
            </w:tcMar>
          </w:tcPr>
          <w:p>
            <w:r>
              <w:rPr>
                <w:b/>
                <w:color w:val="F3F1EA"/>
                <w:sz w:val="15"/>
              </w:rPr>
              <w:t>WHAT HAPPENS</w:t>
            </w:r>
          </w:p>
        </w:tc>
        <w:tc>
          <w:tcPr>
            <w:tcW w:type="dxa" w:w="2592"/>
            <w:shd w:fill="101417"/>
            <w:tcMar>
              <w:top w:w="120" w:type="dxa"/>
              <w:start w:w="140" w:type="dxa"/>
              <w:bottom w:w="120" w:type="dxa"/>
              <w:end w:w="140" w:type="dxa"/>
            </w:tcMar>
          </w:tcPr>
          <w:p>
            <w:r>
              <w:rPr>
                <w:b/>
                <w:color w:val="F3F1EA"/>
                <w:sz w:val="15"/>
              </w:rPr>
              <w:t>OWNER</w:t>
            </w:r>
          </w:p>
        </w:tc>
      </w:tr>
      <w:tr>
        <w:tc>
          <w:tcPr>
            <w:tcW w:type="dxa" w:w="1728"/>
            <w:tcMar>
              <w:top w:w="120" w:type="dxa"/>
              <w:start w:w="140" w:type="dxa"/>
              <w:bottom w:w="120" w:type="dxa"/>
              <w:end w:w="140" w:type="dxa"/>
            </w:tcMar>
            <w:vAlign w:val="top"/>
          </w:tcPr>
          <w:p>
            <w:r>
              <w:rPr>
                <w:b/>
                <w:sz w:val="15"/>
              </w:rPr>
              <w:t>1. Quote request</w:t>
            </w:r>
          </w:p>
        </w:tc>
        <w:tc>
          <w:tcPr>
            <w:tcW w:type="dxa" w:w="6336"/>
            <w:tcMar>
              <w:top w:w="120" w:type="dxa"/>
              <w:start w:w="140" w:type="dxa"/>
              <w:bottom w:w="120" w:type="dxa"/>
              <w:end w:w="140" w:type="dxa"/>
            </w:tcMar>
            <w:vAlign w:val="top"/>
          </w:tcPr>
          <w:p>
            <w:r>
              <w:rPr>
                <w:sz w:val="15"/>
              </w:rPr>
              <w:t>Client sends sell currency, buy currency, amount, destination, settlement preference and idempotency key.</w:t>
            </w:r>
          </w:p>
        </w:tc>
        <w:tc>
          <w:tcPr>
            <w:tcW w:type="dxa" w:w="2592"/>
            <w:tcMar>
              <w:top w:w="120" w:type="dxa"/>
              <w:start w:w="140" w:type="dxa"/>
              <w:bottom w:w="120" w:type="dxa"/>
              <w:end w:w="140" w:type="dxa"/>
            </w:tcMar>
            <w:vAlign w:val="top"/>
          </w:tcPr>
          <w:p>
            <w:r>
              <w:rPr>
                <w:sz w:val="15"/>
              </w:rPr>
              <w:t>Quote service</w:t>
            </w:r>
          </w:p>
        </w:tc>
      </w:tr>
      <w:tr>
        <w:tc>
          <w:tcPr>
            <w:tcW w:type="dxa" w:w="1728"/>
            <w:tcMar>
              <w:top w:w="120" w:type="dxa"/>
              <w:start w:w="140" w:type="dxa"/>
              <w:bottom w:w="120" w:type="dxa"/>
              <w:end w:w="140" w:type="dxa"/>
            </w:tcMar>
            <w:vAlign w:val="top"/>
          </w:tcPr>
          <w:p>
            <w:r>
              <w:rPr>
                <w:b/>
                <w:sz w:val="15"/>
              </w:rPr>
              <w:t>2. Eligibility</w:t>
            </w:r>
          </w:p>
        </w:tc>
        <w:tc>
          <w:tcPr>
            <w:tcW w:type="dxa" w:w="6336"/>
            <w:tcMar>
              <w:top w:w="120" w:type="dxa"/>
              <w:start w:w="140" w:type="dxa"/>
              <w:bottom w:w="120" w:type="dxa"/>
              <w:end w:w="140" w:type="dxa"/>
            </w:tcMar>
            <w:vAlign w:val="top"/>
          </w:tcPr>
          <w:p>
            <w:r>
              <w:rPr>
                <w:sz w:val="15"/>
              </w:rPr>
              <w:t>Validate customer status, corridor, limits, policy and required funding.</w:t>
            </w:r>
          </w:p>
        </w:tc>
        <w:tc>
          <w:tcPr>
            <w:tcW w:type="dxa" w:w="2592"/>
            <w:tcMar>
              <w:top w:w="120" w:type="dxa"/>
              <w:start w:w="140" w:type="dxa"/>
              <w:bottom w:w="120" w:type="dxa"/>
              <w:end w:w="140" w:type="dxa"/>
            </w:tcMar>
            <w:vAlign w:val="top"/>
          </w:tcPr>
          <w:p>
            <w:r>
              <w:rPr>
                <w:sz w:val="15"/>
              </w:rPr>
              <w:t>Policy / Risk</w:t>
            </w:r>
          </w:p>
        </w:tc>
      </w:tr>
      <w:tr>
        <w:tc>
          <w:tcPr>
            <w:tcW w:type="dxa" w:w="1728"/>
            <w:tcMar>
              <w:top w:w="120" w:type="dxa"/>
              <w:start w:w="140" w:type="dxa"/>
              <w:bottom w:w="120" w:type="dxa"/>
              <w:end w:w="140" w:type="dxa"/>
            </w:tcMar>
            <w:vAlign w:val="top"/>
          </w:tcPr>
          <w:p>
            <w:r>
              <w:rPr>
                <w:b/>
                <w:sz w:val="15"/>
              </w:rPr>
              <w:t>3. Price discovery</w:t>
            </w:r>
          </w:p>
        </w:tc>
        <w:tc>
          <w:tcPr>
            <w:tcW w:type="dxa" w:w="6336"/>
            <w:tcMar>
              <w:top w:w="120" w:type="dxa"/>
              <w:start w:w="140" w:type="dxa"/>
              <w:bottom w:w="120" w:type="dxa"/>
              <w:end w:w="140" w:type="dxa"/>
            </w:tcMar>
            <w:vAlign w:val="top"/>
          </w:tcPr>
          <w:p>
            <w:r>
              <w:rPr>
                <w:sz w:val="15"/>
              </w:rPr>
              <w:t>Request executable quotes from eligible liquidity sources; calculate all-in delivered economics.</w:t>
            </w:r>
          </w:p>
        </w:tc>
        <w:tc>
          <w:tcPr>
            <w:tcW w:type="dxa" w:w="2592"/>
            <w:tcMar>
              <w:top w:w="120" w:type="dxa"/>
              <w:start w:w="140" w:type="dxa"/>
              <w:bottom w:w="120" w:type="dxa"/>
              <w:end w:w="140" w:type="dxa"/>
            </w:tcMar>
            <w:vAlign w:val="top"/>
          </w:tcPr>
          <w:p>
            <w:r>
              <w:rPr>
                <w:sz w:val="15"/>
              </w:rPr>
              <w:t>Pricing / Liquidity</w:t>
            </w:r>
          </w:p>
        </w:tc>
      </w:tr>
      <w:tr>
        <w:tc>
          <w:tcPr>
            <w:tcW w:type="dxa" w:w="1728"/>
            <w:tcMar>
              <w:top w:w="120" w:type="dxa"/>
              <w:start w:w="140" w:type="dxa"/>
              <w:bottom w:w="120" w:type="dxa"/>
              <w:end w:w="140" w:type="dxa"/>
            </w:tcMar>
            <w:vAlign w:val="top"/>
          </w:tcPr>
          <w:p>
            <w:r>
              <w:rPr>
                <w:b/>
                <w:sz w:val="15"/>
              </w:rPr>
              <w:t>4. Quote acceptance</w:t>
            </w:r>
          </w:p>
        </w:tc>
        <w:tc>
          <w:tcPr>
            <w:tcW w:type="dxa" w:w="6336"/>
            <w:tcMar>
              <w:top w:w="120" w:type="dxa"/>
              <w:start w:w="140" w:type="dxa"/>
              <w:bottom w:w="120" w:type="dxa"/>
              <w:end w:w="140" w:type="dxa"/>
            </w:tcMar>
            <w:vAlign w:val="top"/>
          </w:tcPr>
          <w:p>
            <w:r>
              <w:rPr>
                <w:sz w:val="15"/>
              </w:rPr>
              <w:t>Reserve quote; freeze economics and create trade.</w:t>
            </w:r>
          </w:p>
        </w:tc>
        <w:tc>
          <w:tcPr>
            <w:tcW w:type="dxa" w:w="2592"/>
            <w:tcMar>
              <w:top w:w="120" w:type="dxa"/>
              <w:start w:w="140" w:type="dxa"/>
              <w:bottom w:w="120" w:type="dxa"/>
              <w:end w:w="140" w:type="dxa"/>
            </w:tcMar>
            <w:vAlign w:val="top"/>
          </w:tcPr>
          <w:p>
            <w:r>
              <w:rPr>
                <w:sz w:val="15"/>
              </w:rPr>
              <w:t>Trade orchestrator</w:t>
            </w:r>
          </w:p>
        </w:tc>
      </w:tr>
      <w:tr>
        <w:tc>
          <w:tcPr>
            <w:tcW w:type="dxa" w:w="1728"/>
            <w:tcMar>
              <w:top w:w="120" w:type="dxa"/>
              <w:start w:w="140" w:type="dxa"/>
              <w:bottom w:w="120" w:type="dxa"/>
              <w:end w:w="140" w:type="dxa"/>
            </w:tcMar>
            <w:vAlign w:val="top"/>
          </w:tcPr>
          <w:p>
            <w:r>
              <w:rPr>
                <w:b/>
                <w:sz w:val="15"/>
              </w:rPr>
              <w:t>5. Funding</w:t>
            </w:r>
          </w:p>
        </w:tc>
        <w:tc>
          <w:tcPr>
            <w:tcW w:type="dxa" w:w="6336"/>
            <w:tcMar>
              <w:top w:w="120" w:type="dxa"/>
              <w:start w:w="140" w:type="dxa"/>
              <w:bottom w:w="120" w:type="dxa"/>
              <w:end w:w="140" w:type="dxa"/>
            </w:tcMar>
            <w:vAlign w:val="top"/>
          </w:tcPr>
          <w:p>
            <w:r>
              <w:rPr>
                <w:sz w:val="15"/>
              </w:rPr>
              <w:t>Verify client funds/prefund/credit line.</w:t>
            </w:r>
          </w:p>
        </w:tc>
        <w:tc>
          <w:tcPr>
            <w:tcW w:type="dxa" w:w="2592"/>
            <w:tcMar>
              <w:top w:w="120" w:type="dxa"/>
              <w:start w:w="140" w:type="dxa"/>
              <w:bottom w:w="120" w:type="dxa"/>
              <w:end w:w="140" w:type="dxa"/>
            </w:tcMar>
            <w:vAlign w:val="top"/>
          </w:tcPr>
          <w:p>
            <w:r>
              <w:rPr>
                <w:sz w:val="15"/>
              </w:rPr>
              <w:t>Ledger + Treasury</w:t>
            </w:r>
          </w:p>
        </w:tc>
      </w:tr>
      <w:tr>
        <w:tc>
          <w:tcPr>
            <w:tcW w:type="dxa" w:w="1728"/>
            <w:tcMar>
              <w:top w:w="120" w:type="dxa"/>
              <w:start w:w="140" w:type="dxa"/>
              <w:bottom w:w="120" w:type="dxa"/>
              <w:end w:w="140" w:type="dxa"/>
            </w:tcMar>
            <w:vAlign w:val="top"/>
          </w:tcPr>
          <w:p>
            <w:r>
              <w:rPr>
                <w:b/>
                <w:sz w:val="15"/>
              </w:rPr>
              <w:t>6. FX execution</w:t>
            </w:r>
          </w:p>
        </w:tc>
        <w:tc>
          <w:tcPr>
            <w:tcW w:type="dxa" w:w="6336"/>
            <w:tcMar>
              <w:top w:w="120" w:type="dxa"/>
              <w:start w:w="140" w:type="dxa"/>
              <w:bottom w:w="120" w:type="dxa"/>
              <w:end w:w="140" w:type="dxa"/>
            </w:tcMar>
            <w:vAlign w:val="top"/>
          </w:tcPr>
          <w:p>
            <w:r>
              <w:rPr>
                <w:sz w:val="15"/>
              </w:rPr>
              <w:t>Execute approved liquidity leg with selected provider.</w:t>
            </w:r>
          </w:p>
        </w:tc>
        <w:tc>
          <w:tcPr>
            <w:tcW w:type="dxa" w:w="2592"/>
            <w:tcMar>
              <w:top w:w="120" w:type="dxa"/>
              <w:start w:w="140" w:type="dxa"/>
              <w:bottom w:w="120" w:type="dxa"/>
              <w:end w:w="140" w:type="dxa"/>
            </w:tcMar>
            <w:vAlign w:val="top"/>
          </w:tcPr>
          <w:p>
            <w:r>
              <w:rPr>
                <w:sz w:val="15"/>
              </w:rPr>
              <w:t>Execution adapter</w:t>
            </w:r>
          </w:p>
        </w:tc>
      </w:tr>
      <w:tr>
        <w:tc>
          <w:tcPr>
            <w:tcW w:type="dxa" w:w="1728"/>
            <w:tcMar>
              <w:top w:w="120" w:type="dxa"/>
              <w:start w:w="140" w:type="dxa"/>
              <w:bottom w:w="120" w:type="dxa"/>
              <w:end w:w="140" w:type="dxa"/>
            </w:tcMar>
            <w:vAlign w:val="top"/>
          </w:tcPr>
          <w:p>
            <w:r>
              <w:rPr>
                <w:b/>
                <w:sz w:val="15"/>
              </w:rPr>
              <w:t>7. Settlement</w:t>
            </w:r>
          </w:p>
        </w:tc>
        <w:tc>
          <w:tcPr>
            <w:tcW w:type="dxa" w:w="6336"/>
            <w:tcMar>
              <w:top w:w="120" w:type="dxa"/>
              <w:start w:w="140" w:type="dxa"/>
              <w:bottom w:w="120" w:type="dxa"/>
              <w:end w:w="140" w:type="dxa"/>
            </w:tcMar>
            <w:vAlign w:val="top"/>
          </w:tcPr>
          <w:p>
            <w:r>
              <w:rPr>
                <w:sz w:val="15"/>
              </w:rPr>
              <w:t>Initiate destination transfer through eligible rail.</w:t>
            </w:r>
          </w:p>
        </w:tc>
        <w:tc>
          <w:tcPr>
            <w:tcW w:type="dxa" w:w="2592"/>
            <w:tcMar>
              <w:top w:w="120" w:type="dxa"/>
              <w:start w:w="140" w:type="dxa"/>
              <w:bottom w:w="120" w:type="dxa"/>
              <w:end w:w="140" w:type="dxa"/>
            </w:tcMar>
            <w:vAlign w:val="top"/>
          </w:tcPr>
          <w:p>
            <w:r>
              <w:rPr>
                <w:sz w:val="15"/>
              </w:rPr>
              <w:t>Settlement engine</w:t>
            </w:r>
          </w:p>
        </w:tc>
      </w:tr>
      <w:tr>
        <w:tc>
          <w:tcPr>
            <w:tcW w:type="dxa" w:w="1728"/>
            <w:tcMar>
              <w:top w:w="120" w:type="dxa"/>
              <w:start w:w="140" w:type="dxa"/>
              <w:bottom w:w="120" w:type="dxa"/>
              <w:end w:w="140" w:type="dxa"/>
            </w:tcMar>
            <w:vAlign w:val="top"/>
          </w:tcPr>
          <w:p>
            <w:r>
              <w:rPr>
                <w:b/>
                <w:sz w:val="15"/>
              </w:rPr>
              <w:t>8. Confirmation</w:t>
            </w:r>
          </w:p>
        </w:tc>
        <w:tc>
          <w:tcPr>
            <w:tcW w:type="dxa" w:w="6336"/>
            <w:tcMar>
              <w:top w:w="120" w:type="dxa"/>
              <w:start w:w="140" w:type="dxa"/>
              <w:bottom w:w="120" w:type="dxa"/>
              <w:end w:w="140" w:type="dxa"/>
            </w:tcMar>
            <w:vAlign w:val="top"/>
          </w:tcPr>
          <w:p>
            <w:r>
              <w:rPr>
                <w:sz w:val="15"/>
              </w:rPr>
              <w:t>Consume provider callbacks/polling evidence; reach explicit finality.</w:t>
            </w:r>
          </w:p>
        </w:tc>
        <w:tc>
          <w:tcPr>
            <w:tcW w:type="dxa" w:w="2592"/>
            <w:tcMar>
              <w:top w:w="120" w:type="dxa"/>
              <w:start w:w="140" w:type="dxa"/>
              <w:bottom w:w="120" w:type="dxa"/>
              <w:end w:w="140" w:type="dxa"/>
            </w:tcMar>
            <w:vAlign w:val="top"/>
          </w:tcPr>
          <w:p>
            <w:r>
              <w:rPr>
                <w:sz w:val="15"/>
              </w:rPr>
              <w:t>Workflow engine</w:t>
            </w:r>
          </w:p>
        </w:tc>
      </w:tr>
      <w:tr>
        <w:tc>
          <w:tcPr>
            <w:tcW w:type="dxa" w:w="1728"/>
            <w:tcMar>
              <w:top w:w="120" w:type="dxa"/>
              <w:start w:w="140" w:type="dxa"/>
              <w:bottom w:w="120" w:type="dxa"/>
              <w:end w:w="140" w:type="dxa"/>
            </w:tcMar>
            <w:vAlign w:val="top"/>
          </w:tcPr>
          <w:p>
            <w:r>
              <w:rPr>
                <w:b/>
                <w:sz w:val="15"/>
              </w:rPr>
              <w:t>9. Accounting</w:t>
            </w:r>
          </w:p>
        </w:tc>
        <w:tc>
          <w:tcPr>
            <w:tcW w:type="dxa" w:w="6336"/>
            <w:tcMar>
              <w:top w:w="120" w:type="dxa"/>
              <w:start w:w="140" w:type="dxa"/>
              <w:bottom w:w="120" w:type="dxa"/>
              <w:end w:w="140" w:type="dxa"/>
            </w:tcMar>
            <w:vAlign w:val="top"/>
          </w:tcPr>
          <w:p>
            <w:r>
              <w:rPr>
                <w:sz w:val="15"/>
              </w:rPr>
              <w:t>Post fees, principal movements, provider receivable/payable, settlement entries.</w:t>
            </w:r>
          </w:p>
        </w:tc>
        <w:tc>
          <w:tcPr>
            <w:tcW w:type="dxa" w:w="2592"/>
            <w:tcMar>
              <w:top w:w="120" w:type="dxa"/>
              <w:start w:w="140" w:type="dxa"/>
              <w:bottom w:w="120" w:type="dxa"/>
              <w:end w:w="140" w:type="dxa"/>
            </w:tcMar>
            <w:vAlign w:val="top"/>
          </w:tcPr>
          <w:p>
            <w:r>
              <w:rPr>
                <w:sz w:val="15"/>
              </w:rPr>
              <w:t>Ledger</w:t>
            </w:r>
          </w:p>
        </w:tc>
      </w:tr>
      <w:tr>
        <w:tc>
          <w:tcPr>
            <w:tcW w:type="dxa" w:w="1728"/>
            <w:tcMar>
              <w:top w:w="120" w:type="dxa"/>
              <w:start w:w="140" w:type="dxa"/>
              <w:bottom w:w="120" w:type="dxa"/>
              <w:end w:w="140" w:type="dxa"/>
            </w:tcMar>
            <w:vAlign w:val="top"/>
          </w:tcPr>
          <w:p>
            <w:r>
              <w:rPr>
                <w:b/>
                <w:sz w:val="15"/>
              </w:rPr>
              <w:t>10. Reconciliation</w:t>
            </w:r>
          </w:p>
        </w:tc>
        <w:tc>
          <w:tcPr>
            <w:tcW w:type="dxa" w:w="6336"/>
            <w:tcMar>
              <w:top w:w="120" w:type="dxa"/>
              <w:start w:w="140" w:type="dxa"/>
              <w:bottom w:w="120" w:type="dxa"/>
              <w:end w:w="140" w:type="dxa"/>
            </w:tcMar>
            <w:vAlign w:val="top"/>
          </w:tcPr>
          <w:p>
            <w:r>
              <w:rPr>
                <w:sz w:val="15"/>
              </w:rPr>
              <w:t>Compare Osai journal against bank/provider evidence; raise breaks.</w:t>
            </w:r>
          </w:p>
        </w:tc>
        <w:tc>
          <w:tcPr>
            <w:tcW w:type="dxa" w:w="2592"/>
            <w:tcMar>
              <w:top w:w="120" w:type="dxa"/>
              <w:start w:w="140" w:type="dxa"/>
              <w:bottom w:w="120" w:type="dxa"/>
              <w:end w:w="140" w:type="dxa"/>
            </w:tcMar>
            <w:vAlign w:val="top"/>
          </w:tcPr>
          <w:p>
            <w:r>
              <w:rPr>
                <w:sz w:val="15"/>
              </w:rPr>
              <w:t>Reconciliation</w:t>
            </w:r>
          </w:p>
        </w:tc>
      </w:tr>
      <w:tr>
        <w:tc>
          <w:tcPr>
            <w:tcW w:type="dxa" w:w="1728"/>
            <w:tcMar>
              <w:top w:w="120" w:type="dxa"/>
              <w:start w:w="140" w:type="dxa"/>
              <w:bottom w:w="120" w:type="dxa"/>
              <w:end w:w="140" w:type="dxa"/>
            </w:tcMar>
            <w:vAlign w:val="top"/>
          </w:tcPr>
          <w:p>
            <w:r>
              <w:rPr>
                <w:b/>
                <w:sz w:val="15"/>
              </w:rPr>
              <w:t>11. Customer evidence</w:t>
            </w:r>
          </w:p>
        </w:tc>
        <w:tc>
          <w:tcPr>
            <w:tcW w:type="dxa" w:w="6336"/>
            <w:tcMar>
              <w:top w:w="120" w:type="dxa"/>
              <w:start w:w="140" w:type="dxa"/>
              <w:bottom w:w="120" w:type="dxa"/>
              <w:end w:w="140" w:type="dxa"/>
            </w:tcMar>
            <w:vAlign w:val="top"/>
          </w:tcPr>
          <w:p>
            <w:r>
              <w:rPr>
                <w:sz w:val="15"/>
              </w:rPr>
              <w:t>Webhook + API expose final status, reference, fees, timestamps and reports.</w:t>
            </w:r>
          </w:p>
        </w:tc>
        <w:tc>
          <w:tcPr>
            <w:tcW w:type="dxa" w:w="2592"/>
            <w:tcMar>
              <w:top w:w="120" w:type="dxa"/>
              <w:start w:w="140" w:type="dxa"/>
              <w:bottom w:w="120" w:type="dxa"/>
              <w:end w:w="140" w:type="dxa"/>
            </w:tcMar>
            <w:vAlign w:val="top"/>
          </w:tcPr>
          <w:p>
            <w:r>
              <w:rPr>
                <w:sz w:val="15"/>
              </w:rPr>
              <w:t>API / Reporting</w:t>
            </w:r>
          </w:p>
        </w:tc>
      </w:tr>
    </w:tbl>
    <w:p>
      <w:pPr>
        <w:pStyle w:val="Heading2"/>
      </w:pPr>
      <w:r>
        <w:t>Core customer object</w:t>
      </w:r>
    </w:p>
    <w:p>
      <w:r>
        <w:t>The core business object is a Trade / Settlement Instruction, not a “payment” in the generic sense. One trade may create multiple external instructions, ledger postings, retries, callbacks and reconciliation records while remaining one customer-facing transaction.</w:t>
      </w:r>
    </w:p>
    <w:p>
      <w:r>
        <w:br w:type="page"/>
      </w:r>
    </w:p>
    <w:p>
      <w:pPr>
        <w:pStyle w:val="OsaiMono"/>
      </w:pPr>
      <w:r>
        <w:t>03 / SERVICE MAP</w:t>
      </w:r>
    </w:p>
    <w:p>
      <w:pPr>
        <w:pStyle w:val="Heading1"/>
      </w:pPr>
      <w:r>
        <w:t>3. Recommended architecture</w:t>
      </w:r>
    </w:p>
    <w:p>
      <w:r>
        <w:t>Start as a modular monolith or a small number of deployable services if the team is small. The boundaries below are logical first. Split them physically only when throughput, ownership or failure isolation justifies it. Premature microservices create operational debt without creating financial correctness.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01417"/>
            <w:tcMar>
              <w:top w:w="120" w:type="dxa"/>
              <w:start w:w="140" w:type="dxa"/>
              <w:bottom w:w="120" w:type="dxa"/>
              <w:end w:w="140" w:type="dxa"/>
            </w:tcMar>
          </w:tcPr>
          <w:p>
            <w:r>
              <w:rPr>
                <w:b/>
                <w:color w:val="F3F1EA"/>
                <w:sz w:val="15"/>
              </w:rPr>
              <w:t>MODULE</w:t>
            </w:r>
          </w:p>
        </w:tc>
        <w:tc>
          <w:tcPr>
            <w:tcW w:type="dxa" w:w="6768"/>
            <w:shd w:fill="101417"/>
            <w:tcMar>
              <w:top w:w="120" w:type="dxa"/>
              <w:start w:w="140" w:type="dxa"/>
              <w:bottom w:w="120" w:type="dxa"/>
              <w:end w:w="140" w:type="dxa"/>
            </w:tcMar>
          </w:tcPr>
          <w:p>
            <w:r>
              <w:rPr>
                <w:b/>
                <w:color w:val="F3F1EA"/>
                <w:sz w:val="15"/>
              </w:rPr>
              <w:t>RESPONSIBILITY</w:t>
            </w:r>
          </w:p>
        </w:tc>
        <w:tc>
          <w:tcPr>
            <w:tcW w:type="dxa" w:w="1800"/>
            <w:shd w:fill="101417"/>
            <w:tcMar>
              <w:top w:w="120" w:type="dxa"/>
              <w:start w:w="140" w:type="dxa"/>
              <w:bottom w:w="120" w:type="dxa"/>
              <w:end w:w="140" w:type="dxa"/>
            </w:tcMar>
          </w:tcPr>
          <w:p>
            <w:r>
              <w:rPr>
                <w:b/>
                <w:color w:val="F3F1EA"/>
                <w:sz w:val="15"/>
              </w:rPr>
              <w:t>QUALITY</w:t>
            </w:r>
          </w:p>
        </w:tc>
      </w:tr>
      <w:tr>
        <w:tc>
          <w:tcPr>
            <w:tcW w:type="dxa" w:w="2232"/>
            <w:tcMar>
              <w:top w:w="120" w:type="dxa"/>
              <w:start w:w="140" w:type="dxa"/>
              <w:bottom w:w="120" w:type="dxa"/>
              <w:end w:w="140" w:type="dxa"/>
            </w:tcMar>
            <w:vAlign w:val="top"/>
          </w:tcPr>
          <w:p>
            <w:r>
              <w:rPr>
                <w:b/>
                <w:sz w:val="15"/>
              </w:rPr>
              <w:t>API Gateway / Auth</w:t>
            </w:r>
          </w:p>
        </w:tc>
        <w:tc>
          <w:tcPr>
            <w:tcW w:type="dxa" w:w="6768"/>
            <w:tcMar>
              <w:top w:w="120" w:type="dxa"/>
              <w:start w:w="140" w:type="dxa"/>
              <w:bottom w:w="120" w:type="dxa"/>
              <w:end w:w="140" w:type="dxa"/>
            </w:tcMar>
            <w:vAlign w:val="top"/>
          </w:tcPr>
          <w:p>
            <w:r>
              <w:rPr>
                <w:sz w:val="15"/>
              </w:rPr>
              <w:t>API keys, OAuth/client credentials where needed, request signing, rate limits, idempotency ingress.</w:t>
            </w:r>
          </w:p>
        </w:tc>
        <w:tc>
          <w:tcPr>
            <w:tcW w:type="dxa" w:w="1800"/>
            <w:tcMar>
              <w:top w:w="120" w:type="dxa"/>
              <w:start w:w="140" w:type="dxa"/>
              <w:bottom w:w="120" w:type="dxa"/>
              <w:end w:w="140" w:type="dxa"/>
            </w:tcMar>
            <w:vAlign w:val="top"/>
          </w:tcPr>
          <w:p>
            <w:r>
              <w:rPr>
                <w:sz w:val="15"/>
              </w:rPr>
              <w:t>Stateless</w:t>
            </w:r>
          </w:p>
        </w:tc>
      </w:tr>
      <w:tr>
        <w:tc>
          <w:tcPr>
            <w:tcW w:type="dxa" w:w="2232"/>
            <w:tcMar>
              <w:top w:w="120" w:type="dxa"/>
              <w:start w:w="140" w:type="dxa"/>
              <w:bottom w:w="120" w:type="dxa"/>
              <w:end w:w="140" w:type="dxa"/>
            </w:tcMar>
            <w:vAlign w:val="top"/>
          </w:tcPr>
          <w:p>
            <w:r>
              <w:rPr>
                <w:b/>
                <w:sz w:val="15"/>
              </w:rPr>
              <w:t>Customer &amp; KYB</w:t>
            </w:r>
          </w:p>
        </w:tc>
        <w:tc>
          <w:tcPr>
            <w:tcW w:type="dxa" w:w="6768"/>
            <w:tcMar>
              <w:top w:w="120" w:type="dxa"/>
              <w:start w:w="140" w:type="dxa"/>
              <w:bottom w:w="120" w:type="dxa"/>
              <w:end w:w="140" w:type="dxa"/>
            </w:tcMar>
            <w:vAlign w:val="top"/>
          </w:tcPr>
          <w:p>
            <w:r>
              <w:rPr>
                <w:sz w:val="15"/>
              </w:rPr>
              <w:t>Institution profile, permissions, accounts, beneficiaries, limits, compliance status.</w:t>
            </w:r>
          </w:p>
        </w:tc>
        <w:tc>
          <w:tcPr>
            <w:tcW w:type="dxa" w:w="1800"/>
            <w:tcMar>
              <w:top w:w="120" w:type="dxa"/>
              <w:start w:w="140" w:type="dxa"/>
              <w:bottom w:w="120" w:type="dxa"/>
              <w:end w:w="140" w:type="dxa"/>
            </w:tcMar>
            <w:vAlign w:val="top"/>
          </w:tcPr>
          <w:p>
            <w:r>
              <w:rPr>
                <w:sz w:val="15"/>
              </w:rPr>
              <w:t>Strong consistency</w:t>
            </w:r>
          </w:p>
        </w:tc>
      </w:tr>
      <w:tr>
        <w:tc>
          <w:tcPr>
            <w:tcW w:type="dxa" w:w="2232"/>
            <w:tcMar>
              <w:top w:w="120" w:type="dxa"/>
              <w:start w:w="140" w:type="dxa"/>
              <w:bottom w:w="120" w:type="dxa"/>
              <w:end w:w="140" w:type="dxa"/>
            </w:tcMar>
            <w:vAlign w:val="top"/>
          </w:tcPr>
          <w:p>
            <w:r>
              <w:rPr>
                <w:b/>
                <w:sz w:val="15"/>
              </w:rPr>
              <w:t>Quote Service</w:t>
            </w:r>
          </w:p>
        </w:tc>
        <w:tc>
          <w:tcPr>
            <w:tcW w:type="dxa" w:w="6768"/>
            <w:tcMar>
              <w:top w:w="120" w:type="dxa"/>
              <w:start w:w="140" w:type="dxa"/>
              <w:bottom w:w="120" w:type="dxa"/>
              <w:end w:w="140" w:type="dxa"/>
            </w:tcMar>
            <w:vAlign w:val="top"/>
          </w:tcPr>
          <w:p>
            <w:r>
              <w:rPr>
                <w:sz w:val="15"/>
              </w:rPr>
              <w:t>Quote requests, provider RFQs, expiry, fees, route candidates, executable quote creation.</w:t>
            </w:r>
          </w:p>
        </w:tc>
        <w:tc>
          <w:tcPr>
            <w:tcW w:type="dxa" w:w="1800"/>
            <w:tcMar>
              <w:top w:w="120" w:type="dxa"/>
              <w:start w:w="140" w:type="dxa"/>
              <w:bottom w:w="120" w:type="dxa"/>
              <w:end w:w="140" w:type="dxa"/>
            </w:tcMar>
            <w:vAlign w:val="top"/>
          </w:tcPr>
          <w:p>
            <w:r>
              <w:rPr>
                <w:sz w:val="15"/>
              </w:rPr>
              <w:t>Low latency</w:t>
            </w:r>
          </w:p>
        </w:tc>
      </w:tr>
      <w:tr>
        <w:tc>
          <w:tcPr>
            <w:tcW w:type="dxa" w:w="2232"/>
            <w:tcMar>
              <w:top w:w="120" w:type="dxa"/>
              <w:start w:w="140" w:type="dxa"/>
              <w:bottom w:w="120" w:type="dxa"/>
              <w:end w:w="140" w:type="dxa"/>
            </w:tcMar>
            <w:vAlign w:val="top"/>
          </w:tcPr>
          <w:p>
            <w:r>
              <w:rPr>
                <w:b/>
                <w:sz w:val="15"/>
              </w:rPr>
              <w:t>Liquidity Router</w:t>
            </w:r>
          </w:p>
        </w:tc>
        <w:tc>
          <w:tcPr>
            <w:tcW w:type="dxa" w:w="6768"/>
            <w:tcMar>
              <w:top w:w="120" w:type="dxa"/>
              <w:start w:w="140" w:type="dxa"/>
              <w:bottom w:w="120" w:type="dxa"/>
              <w:end w:w="140" w:type="dxa"/>
            </w:tcMar>
            <w:vAlign w:val="top"/>
          </w:tcPr>
          <w:p>
            <w:r>
              <w:rPr>
                <w:sz w:val="15"/>
              </w:rPr>
              <w:t>Normalizes provider quotes; ranks eligible sources by all-in cost, depth, reliability and policy.</w:t>
            </w:r>
          </w:p>
        </w:tc>
        <w:tc>
          <w:tcPr>
            <w:tcW w:type="dxa" w:w="1800"/>
            <w:tcMar>
              <w:top w:w="120" w:type="dxa"/>
              <w:start w:w="140" w:type="dxa"/>
              <w:bottom w:w="120" w:type="dxa"/>
              <w:end w:w="140" w:type="dxa"/>
            </w:tcMar>
            <w:vAlign w:val="top"/>
          </w:tcPr>
          <w:p>
            <w:r>
              <w:rPr>
                <w:sz w:val="15"/>
              </w:rPr>
              <w:t>Deterministic ranking</w:t>
            </w:r>
          </w:p>
        </w:tc>
      </w:tr>
      <w:tr>
        <w:tc>
          <w:tcPr>
            <w:tcW w:type="dxa" w:w="2232"/>
            <w:tcMar>
              <w:top w:w="120" w:type="dxa"/>
              <w:start w:w="140" w:type="dxa"/>
              <w:bottom w:w="120" w:type="dxa"/>
              <w:end w:w="140" w:type="dxa"/>
            </w:tcMar>
            <w:vAlign w:val="top"/>
          </w:tcPr>
          <w:p>
            <w:r>
              <w:rPr>
                <w:b/>
                <w:sz w:val="15"/>
              </w:rPr>
              <w:t>Trade Orchestrator</w:t>
            </w:r>
          </w:p>
        </w:tc>
        <w:tc>
          <w:tcPr>
            <w:tcW w:type="dxa" w:w="6768"/>
            <w:tcMar>
              <w:top w:w="120" w:type="dxa"/>
              <w:start w:w="140" w:type="dxa"/>
              <w:bottom w:w="120" w:type="dxa"/>
              <w:end w:w="140" w:type="dxa"/>
            </w:tcMar>
            <w:vAlign w:val="top"/>
          </w:tcPr>
          <w:p>
            <w:r>
              <w:rPr>
                <w:sz w:val="15"/>
              </w:rPr>
              <w:t>Owns trade state machine and durable workflow.</w:t>
            </w:r>
          </w:p>
        </w:tc>
        <w:tc>
          <w:tcPr>
            <w:tcW w:type="dxa" w:w="1800"/>
            <w:tcMar>
              <w:top w:w="120" w:type="dxa"/>
              <w:start w:w="140" w:type="dxa"/>
              <w:bottom w:w="120" w:type="dxa"/>
              <w:end w:w="140" w:type="dxa"/>
            </w:tcMar>
            <w:vAlign w:val="top"/>
          </w:tcPr>
          <w:p>
            <w:r>
              <w:rPr>
                <w:sz w:val="15"/>
              </w:rPr>
              <w:t>Durable</w:t>
            </w:r>
          </w:p>
        </w:tc>
      </w:tr>
      <w:tr>
        <w:tc>
          <w:tcPr>
            <w:tcW w:type="dxa" w:w="2232"/>
            <w:tcMar>
              <w:top w:w="120" w:type="dxa"/>
              <w:start w:w="140" w:type="dxa"/>
              <w:bottom w:w="120" w:type="dxa"/>
              <w:end w:w="140" w:type="dxa"/>
            </w:tcMar>
            <w:vAlign w:val="top"/>
          </w:tcPr>
          <w:p>
            <w:r>
              <w:rPr>
                <w:b/>
                <w:sz w:val="15"/>
              </w:rPr>
              <w:t>Settlement Engine</w:t>
            </w:r>
          </w:p>
        </w:tc>
        <w:tc>
          <w:tcPr>
            <w:tcW w:type="dxa" w:w="6768"/>
            <w:tcMar>
              <w:top w:w="120" w:type="dxa"/>
              <w:start w:w="140" w:type="dxa"/>
              <w:bottom w:w="120" w:type="dxa"/>
              <w:end w:w="140" w:type="dxa"/>
            </w:tcMar>
            <w:vAlign w:val="top"/>
          </w:tcPr>
          <w:p>
            <w:r>
              <w:rPr>
                <w:sz w:val="15"/>
              </w:rPr>
              <w:t>Creates, sends and monitors settlement instructions.</w:t>
            </w:r>
          </w:p>
        </w:tc>
        <w:tc>
          <w:tcPr>
            <w:tcW w:type="dxa" w:w="1800"/>
            <w:tcMar>
              <w:top w:w="120" w:type="dxa"/>
              <w:start w:w="140" w:type="dxa"/>
              <w:bottom w:w="120" w:type="dxa"/>
              <w:end w:w="140" w:type="dxa"/>
            </w:tcMar>
            <w:vAlign w:val="top"/>
          </w:tcPr>
          <w:p>
            <w:r>
              <w:rPr>
                <w:sz w:val="15"/>
              </w:rPr>
              <w:t>Idempotent</w:t>
            </w:r>
          </w:p>
        </w:tc>
      </w:tr>
      <w:tr>
        <w:tc>
          <w:tcPr>
            <w:tcW w:type="dxa" w:w="2232"/>
            <w:tcMar>
              <w:top w:w="120" w:type="dxa"/>
              <w:start w:w="140" w:type="dxa"/>
              <w:bottom w:w="120" w:type="dxa"/>
              <w:end w:w="140" w:type="dxa"/>
            </w:tcMar>
            <w:vAlign w:val="top"/>
          </w:tcPr>
          <w:p>
            <w:r>
              <w:rPr>
                <w:b/>
                <w:sz w:val="15"/>
              </w:rPr>
              <w:t>Provider Adapters</w:t>
            </w:r>
          </w:p>
        </w:tc>
        <w:tc>
          <w:tcPr>
            <w:tcW w:type="dxa" w:w="6768"/>
            <w:tcMar>
              <w:top w:w="120" w:type="dxa"/>
              <w:start w:w="140" w:type="dxa"/>
              <w:bottom w:w="120" w:type="dxa"/>
              <w:end w:w="140" w:type="dxa"/>
            </w:tcMar>
            <w:vAlign w:val="top"/>
          </w:tcPr>
          <w:p>
            <w:r>
              <w:rPr>
                <w:sz w:val="15"/>
              </w:rPr>
              <w:t>Bank, PSP, VASP, stablecoin and liquidity-provider connectors behind standard interfaces.</w:t>
            </w:r>
          </w:p>
        </w:tc>
        <w:tc>
          <w:tcPr>
            <w:tcW w:type="dxa" w:w="1800"/>
            <w:tcMar>
              <w:top w:w="120" w:type="dxa"/>
              <w:start w:w="140" w:type="dxa"/>
              <w:bottom w:w="120" w:type="dxa"/>
              <w:end w:w="140" w:type="dxa"/>
            </w:tcMar>
            <w:vAlign w:val="top"/>
          </w:tcPr>
          <w:p>
            <w:r>
              <w:rPr>
                <w:sz w:val="15"/>
              </w:rPr>
              <w:t>Replaceable</w:t>
            </w:r>
          </w:p>
        </w:tc>
      </w:tr>
      <w:tr>
        <w:tc>
          <w:tcPr>
            <w:tcW w:type="dxa" w:w="2232"/>
            <w:tcMar>
              <w:top w:w="120" w:type="dxa"/>
              <w:start w:w="140" w:type="dxa"/>
              <w:bottom w:w="120" w:type="dxa"/>
              <w:end w:w="140" w:type="dxa"/>
            </w:tcMar>
            <w:vAlign w:val="top"/>
          </w:tcPr>
          <w:p>
            <w:r>
              <w:rPr>
                <w:b/>
                <w:sz w:val="15"/>
              </w:rPr>
              <w:t>Ledger</w:t>
            </w:r>
          </w:p>
        </w:tc>
        <w:tc>
          <w:tcPr>
            <w:tcW w:type="dxa" w:w="6768"/>
            <w:tcMar>
              <w:top w:w="120" w:type="dxa"/>
              <w:start w:w="140" w:type="dxa"/>
              <w:bottom w:w="120" w:type="dxa"/>
              <w:end w:w="140" w:type="dxa"/>
            </w:tcMar>
            <w:vAlign w:val="top"/>
          </w:tcPr>
          <w:p>
            <w:r>
              <w:rPr>
                <w:sz w:val="15"/>
              </w:rPr>
              <w:t>Immutable double-entry journal, accounts, balances, holds, fees, provider positions.</w:t>
            </w:r>
          </w:p>
        </w:tc>
        <w:tc>
          <w:tcPr>
            <w:tcW w:type="dxa" w:w="1800"/>
            <w:tcMar>
              <w:top w:w="120" w:type="dxa"/>
              <w:start w:w="140" w:type="dxa"/>
              <w:bottom w:w="120" w:type="dxa"/>
              <w:end w:w="140" w:type="dxa"/>
            </w:tcMar>
            <w:vAlign w:val="top"/>
          </w:tcPr>
          <w:p>
            <w:r>
              <w:rPr>
                <w:sz w:val="15"/>
              </w:rPr>
              <w:t>Source of financial truth</w:t>
            </w:r>
          </w:p>
        </w:tc>
      </w:tr>
      <w:tr>
        <w:tc>
          <w:tcPr>
            <w:tcW w:type="dxa" w:w="2232"/>
            <w:tcMar>
              <w:top w:w="120" w:type="dxa"/>
              <w:start w:w="140" w:type="dxa"/>
              <w:bottom w:w="120" w:type="dxa"/>
              <w:end w:w="140" w:type="dxa"/>
            </w:tcMar>
            <w:vAlign w:val="top"/>
          </w:tcPr>
          <w:p>
            <w:r>
              <w:rPr>
                <w:b/>
                <w:sz w:val="15"/>
              </w:rPr>
              <w:t>Reconciliation</w:t>
            </w:r>
          </w:p>
        </w:tc>
        <w:tc>
          <w:tcPr>
            <w:tcW w:type="dxa" w:w="6768"/>
            <w:tcMar>
              <w:top w:w="120" w:type="dxa"/>
              <w:start w:w="140" w:type="dxa"/>
              <w:bottom w:w="120" w:type="dxa"/>
              <w:end w:w="140" w:type="dxa"/>
            </w:tcMar>
            <w:vAlign w:val="top"/>
          </w:tcPr>
          <w:p>
            <w:r>
              <w:rPr>
                <w:sz w:val="15"/>
              </w:rPr>
              <w:t>Statement ingestion, matching, breaks, aging, adjustments under approval.</w:t>
            </w:r>
          </w:p>
        </w:tc>
        <w:tc>
          <w:tcPr>
            <w:tcW w:type="dxa" w:w="1800"/>
            <w:tcMar>
              <w:top w:w="120" w:type="dxa"/>
              <w:start w:w="140" w:type="dxa"/>
              <w:bottom w:w="120" w:type="dxa"/>
              <w:end w:w="140" w:type="dxa"/>
            </w:tcMar>
            <w:vAlign w:val="top"/>
          </w:tcPr>
          <w:p>
            <w:r>
              <w:rPr>
                <w:sz w:val="15"/>
              </w:rPr>
              <w:t>Batch + event</w:t>
            </w:r>
          </w:p>
        </w:tc>
      </w:tr>
      <w:tr>
        <w:tc>
          <w:tcPr>
            <w:tcW w:type="dxa" w:w="2232"/>
            <w:tcMar>
              <w:top w:w="120" w:type="dxa"/>
              <w:start w:w="140" w:type="dxa"/>
              <w:bottom w:w="120" w:type="dxa"/>
              <w:end w:w="140" w:type="dxa"/>
            </w:tcMar>
            <w:vAlign w:val="top"/>
          </w:tcPr>
          <w:p>
            <w:r>
              <w:rPr>
                <w:b/>
                <w:sz w:val="15"/>
              </w:rPr>
              <w:t>Risk / Policy</w:t>
            </w:r>
          </w:p>
        </w:tc>
        <w:tc>
          <w:tcPr>
            <w:tcW w:type="dxa" w:w="6768"/>
            <w:tcMar>
              <w:top w:w="120" w:type="dxa"/>
              <w:start w:w="140" w:type="dxa"/>
              <w:bottom w:w="120" w:type="dxa"/>
              <w:end w:w="140" w:type="dxa"/>
            </w:tcMar>
            <w:vAlign w:val="top"/>
          </w:tcPr>
          <w:p>
            <w:r>
              <w:rPr>
                <w:sz w:val="15"/>
              </w:rPr>
              <w:t>Limits, corridor eligibility, counterparty exposure, velocity and manual approval rules.</w:t>
            </w:r>
          </w:p>
        </w:tc>
        <w:tc>
          <w:tcPr>
            <w:tcW w:type="dxa" w:w="1800"/>
            <w:tcMar>
              <w:top w:w="120" w:type="dxa"/>
              <w:start w:w="140" w:type="dxa"/>
              <w:bottom w:w="120" w:type="dxa"/>
              <w:end w:w="140" w:type="dxa"/>
            </w:tcMar>
            <w:vAlign w:val="top"/>
          </w:tcPr>
          <w:p>
            <w:r>
              <w:rPr>
                <w:sz w:val="15"/>
              </w:rPr>
              <w:t>Auditable</w:t>
            </w:r>
          </w:p>
        </w:tc>
      </w:tr>
      <w:tr>
        <w:tc>
          <w:tcPr>
            <w:tcW w:type="dxa" w:w="2232"/>
            <w:tcMar>
              <w:top w:w="120" w:type="dxa"/>
              <w:start w:w="140" w:type="dxa"/>
              <w:bottom w:w="120" w:type="dxa"/>
              <w:end w:w="140" w:type="dxa"/>
            </w:tcMar>
            <w:vAlign w:val="top"/>
          </w:tcPr>
          <w:p>
            <w:r>
              <w:rPr>
                <w:b/>
                <w:sz w:val="15"/>
              </w:rPr>
              <w:t>Webhook / Notification</w:t>
            </w:r>
          </w:p>
        </w:tc>
        <w:tc>
          <w:tcPr>
            <w:tcW w:type="dxa" w:w="6768"/>
            <w:tcMar>
              <w:top w:w="120" w:type="dxa"/>
              <w:start w:w="140" w:type="dxa"/>
              <w:bottom w:w="120" w:type="dxa"/>
              <w:end w:w="140" w:type="dxa"/>
            </w:tcMar>
            <w:vAlign w:val="top"/>
          </w:tcPr>
          <w:p>
            <w:r>
              <w:rPr>
                <w:sz w:val="15"/>
              </w:rPr>
              <w:t>Reliable outbound customer events with retries and signatures.</w:t>
            </w:r>
          </w:p>
        </w:tc>
        <w:tc>
          <w:tcPr>
            <w:tcW w:type="dxa" w:w="1800"/>
            <w:tcMar>
              <w:top w:w="120" w:type="dxa"/>
              <w:start w:w="140" w:type="dxa"/>
              <w:bottom w:w="120" w:type="dxa"/>
              <w:end w:w="140" w:type="dxa"/>
            </w:tcMar>
            <w:vAlign w:val="top"/>
          </w:tcPr>
          <w:p>
            <w:r>
              <w:rPr>
                <w:sz w:val="15"/>
              </w:rPr>
              <w:t>At-least-once</w:t>
            </w:r>
          </w:p>
        </w:tc>
      </w:tr>
      <w:tr>
        <w:tc>
          <w:tcPr>
            <w:tcW w:type="dxa" w:w="2232"/>
            <w:tcMar>
              <w:top w:w="120" w:type="dxa"/>
              <w:start w:w="140" w:type="dxa"/>
              <w:bottom w:w="120" w:type="dxa"/>
              <w:end w:w="140" w:type="dxa"/>
            </w:tcMar>
            <w:vAlign w:val="top"/>
          </w:tcPr>
          <w:p>
            <w:r>
              <w:rPr>
                <w:b/>
                <w:sz w:val="15"/>
              </w:rPr>
              <w:t>Ops Console</w:t>
            </w:r>
          </w:p>
        </w:tc>
        <w:tc>
          <w:tcPr>
            <w:tcW w:type="dxa" w:w="6768"/>
            <w:tcMar>
              <w:top w:w="120" w:type="dxa"/>
              <w:start w:w="140" w:type="dxa"/>
              <w:bottom w:w="120" w:type="dxa"/>
              <w:end w:w="140" w:type="dxa"/>
            </w:tcMar>
            <w:vAlign w:val="top"/>
          </w:tcPr>
          <w:p>
            <w:r>
              <w:rPr>
                <w:sz w:val="15"/>
              </w:rPr>
              <w:t>Exception queues, approvals, trade timeline, reconciliation breaks, provider health.</w:t>
            </w:r>
          </w:p>
        </w:tc>
        <w:tc>
          <w:tcPr>
            <w:tcW w:type="dxa" w:w="1800"/>
            <w:tcMar>
              <w:top w:w="120" w:type="dxa"/>
              <w:start w:w="140" w:type="dxa"/>
              <w:bottom w:w="120" w:type="dxa"/>
              <w:end w:w="140" w:type="dxa"/>
            </w:tcMar>
            <w:vAlign w:val="top"/>
          </w:tcPr>
          <w:p>
            <w:r>
              <w:rPr>
                <w:sz w:val="15"/>
              </w:rPr>
              <w:t>Internal only</w:t>
            </w:r>
          </w:p>
        </w:tc>
      </w:tr>
      <w:tr>
        <w:tc>
          <w:tcPr>
            <w:tcW w:type="dxa" w:w="2232"/>
            <w:tcMar>
              <w:top w:w="120" w:type="dxa"/>
              <w:start w:w="140" w:type="dxa"/>
              <w:bottom w:w="120" w:type="dxa"/>
              <w:end w:w="140" w:type="dxa"/>
            </w:tcMar>
            <w:vAlign w:val="top"/>
          </w:tcPr>
          <w:p>
            <w:r>
              <w:rPr>
                <w:b/>
                <w:sz w:val="15"/>
              </w:rPr>
              <w:t>Reporting</w:t>
            </w:r>
          </w:p>
        </w:tc>
        <w:tc>
          <w:tcPr>
            <w:tcW w:type="dxa" w:w="6768"/>
            <w:tcMar>
              <w:top w:w="120" w:type="dxa"/>
              <w:start w:w="140" w:type="dxa"/>
              <w:bottom w:w="120" w:type="dxa"/>
              <w:end w:w="140" w:type="dxa"/>
            </w:tcMar>
            <w:vAlign w:val="top"/>
          </w:tcPr>
          <w:p>
            <w:r>
              <w:rPr>
                <w:sz w:val="15"/>
              </w:rPr>
              <w:t>Statements, settlement reports, audit exports, finance/compliance views.</w:t>
            </w:r>
          </w:p>
        </w:tc>
        <w:tc>
          <w:tcPr>
            <w:tcW w:type="dxa" w:w="1800"/>
            <w:tcMar>
              <w:top w:w="120" w:type="dxa"/>
              <w:start w:w="140" w:type="dxa"/>
              <w:bottom w:w="120" w:type="dxa"/>
              <w:end w:w="140" w:type="dxa"/>
            </w:tcMar>
            <w:vAlign w:val="top"/>
          </w:tcPr>
          <w:p>
            <w:r>
              <w:rPr>
                <w:sz w:val="15"/>
              </w:rPr>
              <w:t>Read models</w:t>
            </w:r>
          </w:p>
        </w:tc>
      </w:tr>
    </w:tbl>
    <w:p>
      <w:pPr>
        <w:pStyle w:val="Heading2"/>
      </w:pPr>
      <w:r>
        <w:t>Suggested baseline stack</w:t>
      </w:r>
    </w:p>
    <w:p>
      <w:r>
        <w:t>Use boring, proven technology. A reasonable baseline is Go or TypeScript/Node for services, PostgreSQL for the transactional ledger and core entities, Redis only for ephemeral caching/locks where safe, a durable workflow engine such as Temporal for long-running settlement flows, Kafka/Redpanda or a transactional outbox + queue for events, object storage for immutable files/statements, and Kubernetes or managed container infrastructure only when operationally justified.</w:t>
      </w:r>
    </w:p>
    <w:p>
      <w:r>
        <w:t>The specific language is less important than preserving atomicity, deterministic retries, observability and strong database discipline.</w:t>
      </w:r>
    </w:p>
    <w:p>
      <w:r>
        <w:br w:type="page"/>
      </w:r>
    </w:p>
    <w:p>
      <w:pPr>
        <w:pStyle w:val="OsaiMono"/>
      </w:pPr>
      <w:r>
        <w:t>04 / MONEY TRUTH</w:t>
      </w:r>
    </w:p>
    <w:p>
      <w:pPr>
        <w:pStyle w:val="Heading1"/>
      </w:pPr>
      <w:r>
        <w:t>4. Financial ledger: highest-priority subsystem</w:t>
      </w:r>
    </w:p>
    <w:p>
      <w:r>
        <w:t>The ledger is the system of record for money. External provider balances are evidence to reconcile against, not the primary truth inside Osai.</w:t>
      </w:r>
    </w:p>
    <w:p>
      <w:pPr>
        <w:pStyle w:val="Heading2"/>
      </w:pPr>
      <w:r>
        <w:t>Ledger rules</w:t>
      </w:r>
    </w:p>
    <w:p>
      <w:pPr>
        <w:pStyle w:val="ListBullet"/>
        <w:spacing w:after="40"/>
      </w:pPr>
      <w:r>
        <w:t>Use double-entry accounting. Every journal transaction must balance debits and credits to zero by currency.</w:t>
      </w:r>
    </w:p>
    <w:p>
      <w:pPr>
        <w:pStyle w:val="ListBullet"/>
        <w:spacing w:after="40"/>
      </w:pPr>
      <w:r>
        <w:t>Never mutate historical journal entries. Corrections are new reversing/adjusting entries.</w:t>
      </w:r>
    </w:p>
    <w:p>
      <w:pPr>
        <w:pStyle w:val="ListBullet"/>
        <w:spacing w:after="40"/>
      </w:pPr>
      <w:r>
        <w:t>Derive balances from journal entries or a rigorously maintained balance cache that can be rebuilt from the journal.</w:t>
      </w:r>
    </w:p>
    <w:p>
      <w:pPr>
        <w:pStyle w:val="ListBullet"/>
        <w:spacing w:after="40"/>
      </w:pPr>
      <w:r>
        <w:t>Separate available, pending/held, receivable, payable, fee and settlement accounts.</w:t>
      </w:r>
    </w:p>
    <w:p>
      <w:pPr>
        <w:pStyle w:val="ListBullet"/>
        <w:spacing w:after="40"/>
      </w:pPr>
      <w:r>
        <w:t>Never mix currencies in one ledger account. FX conversion is represented as linked legs plus explicit fee/spread accounts.</w:t>
      </w:r>
    </w:p>
    <w:p>
      <w:pPr>
        <w:pStyle w:val="ListBullet"/>
        <w:spacing w:after="40"/>
      </w:pPr>
      <w:r>
        <w:t>Every posting links to trade_id, journal_id, correlation_id, external reference where applicable, and actor/source.</w:t>
      </w:r>
    </w:p>
    <w:p>
      <w:pPr>
        <w:pStyle w:val="ListBullet"/>
        <w:spacing w:after="40"/>
      </w:pPr>
      <w:r>
        <w:t>No floating-point arithmetic for money. Store integer minor units or exact decimal types with currency precision rules.</w:t>
      </w:r>
    </w:p>
    <w:p>
      <w:pPr>
        <w:pStyle w:val="ListBullet"/>
        <w:spacing w:after="40"/>
      </w:pPr>
      <w:r>
        <w:t>Ledger posting and business state changes that depend on each other must occur atomically where possible.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101417"/>
            <w:tcMar>
              <w:top w:w="120" w:type="dxa"/>
              <w:start w:w="140" w:type="dxa"/>
              <w:bottom w:w="120" w:type="dxa"/>
              <w:end w:w="140" w:type="dxa"/>
            </w:tcMar>
          </w:tcPr>
          <w:p>
            <w:r>
              <w:rPr>
                <w:b/>
                <w:color w:val="F3F1EA"/>
                <w:sz w:val="15"/>
              </w:rPr>
              <w:t>ENTITY</w:t>
            </w:r>
          </w:p>
        </w:tc>
        <w:tc>
          <w:tcPr>
            <w:tcW w:type="dxa" w:w="6768"/>
            <w:shd w:fill="101417"/>
            <w:tcMar>
              <w:top w:w="120" w:type="dxa"/>
              <w:start w:w="140" w:type="dxa"/>
              <w:bottom w:w="120" w:type="dxa"/>
              <w:end w:w="140" w:type="dxa"/>
            </w:tcMar>
          </w:tcPr>
          <w:p>
            <w:r>
              <w:rPr>
                <w:b/>
                <w:color w:val="F3F1EA"/>
                <w:sz w:val="15"/>
              </w:rPr>
              <w:t>MINIMUM FIELDS</w:t>
            </w:r>
          </w:p>
        </w:tc>
        <w:tc>
          <w:tcPr>
            <w:tcW w:type="dxa" w:w="1872"/>
            <w:shd w:fill="101417"/>
            <w:tcMar>
              <w:top w:w="120" w:type="dxa"/>
              <w:start w:w="140" w:type="dxa"/>
              <w:bottom w:w="120" w:type="dxa"/>
              <w:end w:w="140" w:type="dxa"/>
            </w:tcMar>
          </w:tcPr>
          <w:p>
            <w:r>
              <w:rPr>
                <w:b/>
                <w:color w:val="F3F1EA"/>
                <w:sz w:val="15"/>
              </w:rPr>
              <w:t>INVARIANT</w:t>
            </w:r>
          </w:p>
        </w:tc>
      </w:tr>
      <w:tr>
        <w:tc>
          <w:tcPr>
            <w:tcW w:type="dxa" w:w="2304"/>
            <w:tcMar>
              <w:top w:w="120" w:type="dxa"/>
              <w:start w:w="140" w:type="dxa"/>
              <w:bottom w:w="120" w:type="dxa"/>
              <w:end w:w="140" w:type="dxa"/>
            </w:tcMar>
            <w:vAlign w:val="top"/>
          </w:tcPr>
          <w:p>
            <w:r>
              <w:rPr>
                <w:b/>
                <w:sz w:val="15"/>
              </w:rPr>
              <w:t>ledger_accounts</w:t>
            </w:r>
          </w:p>
        </w:tc>
        <w:tc>
          <w:tcPr>
            <w:tcW w:type="dxa" w:w="6768"/>
            <w:tcMar>
              <w:top w:w="120" w:type="dxa"/>
              <w:start w:w="140" w:type="dxa"/>
              <w:bottom w:w="120" w:type="dxa"/>
              <w:end w:w="140" w:type="dxa"/>
            </w:tcMar>
            <w:vAlign w:val="top"/>
          </w:tcPr>
          <w:p>
            <w:r>
              <w:rPr>
                <w:sz w:val="15"/>
              </w:rPr>
              <w:t>id, owner_type, owner_id, currency, account_type, status</w:t>
            </w:r>
          </w:p>
        </w:tc>
        <w:tc>
          <w:tcPr>
            <w:tcW w:type="dxa" w:w="1872"/>
            <w:tcMar>
              <w:top w:w="120" w:type="dxa"/>
              <w:start w:w="140" w:type="dxa"/>
              <w:bottom w:w="120" w:type="dxa"/>
              <w:end w:w="140" w:type="dxa"/>
            </w:tcMar>
            <w:vAlign w:val="top"/>
          </w:tcPr>
          <w:p>
            <w:r>
              <w:rPr>
                <w:sz w:val="15"/>
              </w:rPr>
              <w:t>One currency per account</w:t>
            </w:r>
          </w:p>
        </w:tc>
      </w:tr>
      <w:tr>
        <w:tc>
          <w:tcPr>
            <w:tcW w:type="dxa" w:w="2304"/>
            <w:tcMar>
              <w:top w:w="120" w:type="dxa"/>
              <w:start w:w="140" w:type="dxa"/>
              <w:bottom w:w="120" w:type="dxa"/>
              <w:end w:w="140" w:type="dxa"/>
            </w:tcMar>
            <w:vAlign w:val="top"/>
          </w:tcPr>
          <w:p>
            <w:r>
              <w:rPr>
                <w:b/>
                <w:sz w:val="15"/>
              </w:rPr>
              <w:t>journal_transactions</w:t>
            </w:r>
          </w:p>
        </w:tc>
        <w:tc>
          <w:tcPr>
            <w:tcW w:type="dxa" w:w="6768"/>
            <w:tcMar>
              <w:top w:w="120" w:type="dxa"/>
              <w:start w:w="140" w:type="dxa"/>
              <w:bottom w:w="120" w:type="dxa"/>
              <w:end w:w="140" w:type="dxa"/>
            </w:tcMar>
            <w:vAlign w:val="top"/>
          </w:tcPr>
          <w:p>
            <w:r>
              <w:rPr>
                <w:sz w:val="15"/>
              </w:rPr>
              <w:t>id, trade_id, type, effective_at, created_at, correlation_id</w:t>
            </w:r>
          </w:p>
        </w:tc>
        <w:tc>
          <w:tcPr>
            <w:tcW w:type="dxa" w:w="1872"/>
            <w:tcMar>
              <w:top w:w="120" w:type="dxa"/>
              <w:start w:w="140" w:type="dxa"/>
              <w:bottom w:w="120" w:type="dxa"/>
              <w:end w:w="140" w:type="dxa"/>
            </w:tcMar>
            <w:vAlign w:val="top"/>
          </w:tcPr>
          <w:p>
            <w:r>
              <w:rPr>
                <w:sz w:val="15"/>
              </w:rPr>
              <w:t>Immutable header</w:t>
            </w:r>
          </w:p>
        </w:tc>
      </w:tr>
      <w:tr>
        <w:tc>
          <w:tcPr>
            <w:tcW w:type="dxa" w:w="2304"/>
            <w:tcMar>
              <w:top w:w="120" w:type="dxa"/>
              <w:start w:w="140" w:type="dxa"/>
              <w:bottom w:w="120" w:type="dxa"/>
              <w:end w:w="140" w:type="dxa"/>
            </w:tcMar>
            <w:vAlign w:val="top"/>
          </w:tcPr>
          <w:p>
            <w:r>
              <w:rPr>
                <w:b/>
                <w:sz w:val="15"/>
              </w:rPr>
              <w:t>journal_entries</w:t>
            </w:r>
          </w:p>
        </w:tc>
        <w:tc>
          <w:tcPr>
            <w:tcW w:type="dxa" w:w="6768"/>
            <w:tcMar>
              <w:top w:w="120" w:type="dxa"/>
              <w:start w:w="140" w:type="dxa"/>
              <w:bottom w:w="120" w:type="dxa"/>
              <w:end w:w="140" w:type="dxa"/>
            </w:tcMar>
            <w:vAlign w:val="top"/>
          </w:tcPr>
          <w:p>
            <w:r>
              <w:rPr>
                <w:sz w:val="15"/>
              </w:rPr>
              <w:t>id, journal_id, ledger_account_id, direction, amount_minor, currency</w:t>
            </w:r>
          </w:p>
        </w:tc>
        <w:tc>
          <w:tcPr>
            <w:tcW w:type="dxa" w:w="1872"/>
            <w:tcMar>
              <w:top w:w="120" w:type="dxa"/>
              <w:start w:w="140" w:type="dxa"/>
              <w:bottom w:w="120" w:type="dxa"/>
              <w:end w:w="140" w:type="dxa"/>
            </w:tcMar>
            <w:vAlign w:val="top"/>
          </w:tcPr>
          <w:p>
            <w:r>
              <w:rPr>
                <w:sz w:val="15"/>
              </w:rPr>
              <w:t>Sum debits = credits</w:t>
            </w:r>
          </w:p>
        </w:tc>
      </w:tr>
      <w:tr>
        <w:tc>
          <w:tcPr>
            <w:tcW w:type="dxa" w:w="2304"/>
            <w:tcMar>
              <w:top w:w="120" w:type="dxa"/>
              <w:start w:w="140" w:type="dxa"/>
              <w:bottom w:w="120" w:type="dxa"/>
              <w:end w:w="140" w:type="dxa"/>
            </w:tcMar>
            <w:vAlign w:val="top"/>
          </w:tcPr>
          <w:p>
            <w:r>
              <w:rPr>
                <w:b/>
                <w:sz w:val="15"/>
              </w:rPr>
              <w:t>balance_holds</w:t>
            </w:r>
          </w:p>
        </w:tc>
        <w:tc>
          <w:tcPr>
            <w:tcW w:type="dxa" w:w="6768"/>
            <w:tcMar>
              <w:top w:w="120" w:type="dxa"/>
              <w:start w:w="140" w:type="dxa"/>
              <w:bottom w:w="120" w:type="dxa"/>
              <w:end w:w="140" w:type="dxa"/>
            </w:tcMar>
            <w:vAlign w:val="top"/>
          </w:tcPr>
          <w:p>
            <w:r>
              <w:rPr>
                <w:sz w:val="15"/>
              </w:rPr>
              <w:t>id, ledger_account_id, trade_id, amount, state, expires_at</w:t>
            </w:r>
          </w:p>
        </w:tc>
        <w:tc>
          <w:tcPr>
            <w:tcW w:type="dxa" w:w="1872"/>
            <w:tcMar>
              <w:top w:w="120" w:type="dxa"/>
              <w:start w:w="140" w:type="dxa"/>
              <w:bottom w:w="120" w:type="dxa"/>
              <w:end w:w="140" w:type="dxa"/>
            </w:tcMar>
            <w:vAlign w:val="top"/>
          </w:tcPr>
          <w:p>
            <w:r>
              <w:rPr>
                <w:sz w:val="15"/>
              </w:rPr>
              <w:t>Reserve funds safely</w:t>
            </w:r>
          </w:p>
        </w:tc>
      </w:tr>
      <w:tr>
        <w:tc>
          <w:tcPr>
            <w:tcW w:type="dxa" w:w="2304"/>
            <w:tcMar>
              <w:top w:w="120" w:type="dxa"/>
              <w:start w:w="140" w:type="dxa"/>
              <w:bottom w:w="120" w:type="dxa"/>
              <w:end w:w="140" w:type="dxa"/>
            </w:tcMar>
            <w:vAlign w:val="top"/>
          </w:tcPr>
          <w:p>
            <w:r>
              <w:rPr>
                <w:b/>
                <w:sz w:val="15"/>
              </w:rPr>
              <w:t>provider_positions</w:t>
            </w:r>
          </w:p>
        </w:tc>
        <w:tc>
          <w:tcPr>
            <w:tcW w:type="dxa" w:w="6768"/>
            <w:tcMar>
              <w:top w:w="120" w:type="dxa"/>
              <w:start w:w="140" w:type="dxa"/>
              <w:bottom w:w="120" w:type="dxa"/>
              <w:end w:w="140" w:type="dxa"/>
            </w:tcMar>
            <w:vAlign w:val="top"/>
          </w:tcPr>
          <w:p>
            <w:r>
              <w:rPr>
                <w:sz w:val="15"/>
              </w:rPr>
              <w:t>provider_id, currency, internal_book_balance, external_reported_balance</w:t>
            </w:r>
          </w:p>
        </w:tc>
        <w:tc>
          <w:tcPr>
            <w:tcW w:type="dxa" w:w="1872"/>
            <w:tcMar>
              <w:top w:w="120" w:type="dxa"/>
              <w:start w:w="140" w:type="dxa"/>
              <w:bottom w:w="120" w:type="dxa"/>
              <w:end w:w="140" w:type="dxa"/>
            </w:tcMar>
            <w:vAlign w:val="top"/>
          </w:tcPr>
          <w:p>
            <w:r>
              <w:rPr>
                <w:sz w:val="15"/>
              </w:rPr>
              <w:t>Reconciliation view</w:t>
            </w:r>
          </w:p>
        </w:tc>
      </w:tr>
      <w:tr>
        <w:tc>
          <w:tcPr>
            <w:tcW w:type="dxa" w:w="2304"/>
            <w:tcMar>
              <w:top w:w="120" w:type="dxa"/>
              <w:start w:w="140" w:type="dxa"/>
              <w:bottom w:w="120" w:type="dxa"/>
              <w:end w:w="140" w:type="dxa"/>
            </w:tcMar>
            <w:vAlign w:val="top"/>
          </w:tcPr>
          <w:p>
            <w:r>
              <w:rPr>
                <w:b/>
                <w:sz w:val="15"/>
              </w:rPr>
              <w:t>fees</w:t>
            </w:r>
          </w:p>
        </w:tc>
        <w:tc>
          <w:tcPr>
            <w:tcW w:type="dxa" w:w="6768"/>
            <w:tcMar>
              <w:top w:w="120" w:type="dxa"/>
              <w:start w:w="140" w:type="dxa"/>
              <w:bottom w:w="120" w:type="dxa"/>
              <w:end w:w="140" w:type="dxa"/>
            </w:tcMar>
            <w:vAlign w:val="top"/>
          </w:tcPr>
          <w:p>
            <w:r>
              <w:rPr>
                <w:sz w:val="15"/>
              </w:rPr>
              <w:t>trade_id, fee_type, currency, amount, recipient</w:t>
            </w:r>
          </w:p>
        </w:tc>
        <w:tc>
          <w:tcPr>
            <w:tcW w:type="dxa" w:w="1872"/>
            <w:tcMar>
              <w:top w:w="120" w:type="dxa"/>
              <w:start w:w="140" w:type="dxa"/>
              <w:bottom w:w="120" w:type="dxa"/>
              <w:end w:w="140" w:type="dxa"/>
            </w:tcMar>
            <w:vAlign w:val="top"/>
          </w:tcPr>
          <w:p>
            <w:r>
              <w:rPr>
                <w:sz w:val="15"/>
              </w:rPr>
              <w:t>Explicit economics</w:t>
            </w:r>
          </w:p>
        </w:tc>
      </w:tr>
    </w:tbl>
    <w:p>
      <w:pPr>
        <w:pStyle w:val="Heading2"/>
      </w:pPr>
      <w:r>
        <w:t>Required invariant tests</w:t>
      </w:r>
    </w:p>
    <w:p>
      <w:pPr>
        <w:pStyle w:val="ListBullet"/>
        <w:spacing w:after="40"/>
      </w:pPr>
      <w:r>
        <w:t>Every journal balances.</w:t>
      </w:r>
    </w:p>
    <w:p>
      <w:pPr>
        <w:pStyle w:val="ListBullet"/>
        <w:spacing w:after="40"/>
      </w:pPr>
      <w:r>
        <w:t>No negative available balance unless account/credit policy explicitly permits it.</w:t>
      </w:r>
    </w:p>
    <w:p>
      <w:pPr>
        <w:pStyle w:val="ListBullet"/>
        <w:spacing w:after="40"/>
      </w:pPr>
      <w:r>
        <w:t>A trade cannot settle more principal than was funded/credited.</w:t>
      </w:r>
    </w:p>
    <w:p>
      <w:pPr>
        <w:pStyle w:val="ListBullet"/>
        <w:spacing w:after="40"/>
      </w:pPr>
      <w:r>
        <w:t>The same external settlement reference cannot be booked twice.</w:t>
      </w:r>
    </w:p>
    <w:p>
      <w:pPr>
        <w:pStyle w:val="ListBullet"/>
        <w:spacing w:after="40"/>
      </w:pPr>
      <w:r>
        <w:t>Replaying the same command cannot change economic outcome after first success.</w:t>
      </w:r>
    </w:p>
    <w:p>
      <w:pPr>
        <w:pStyle w:val="ListBullet"/>
        <w:spacing w:after="40"/>
      </w:pPr>
      <w:r>
        <w:t>Ledger can be rebuilt and balances reproduced deterministically.</w:t>
      </w:r>
    </w:p>
    <w:p>
      <w:r>
        <w:br w:type="page"/>
      </w:r>
    </w:p>
    <w:p>
      <w:pPr>
        <w:pStyle w:val="OsaiMono"/>
      </w:pPr>
      <w:r>
        <w:t>05 / DURABLE WORKFLOW</w:t>
      </w:r>
    </w:p>
    <w:p>
      <w:pPr>
        <w:pStyle w:val="Heading1"/>
      </w:pPr>
      <w:r>
        <w:t>5. Trade and settlement state machines</w:t>
      </w:r>
    </w:p>
    <w:p>
      <w:r>
        <w:t>Never model money movement as a chain of synchronous HTTP calls. A settlement may take seconds, minutes or hours. Providers fail, callbacks arrive late, timeouts happen after a provider already accepted an instruction. The workflow must survive process restarts and duplicate messages.</w:t>
      </w:r>
    </w:p>
    <w:p>
      <w:pPr>
        <w:pStyle w:val="Heading2"/>
      </w:pPr>
      <w:r>
        <w:t>Recommended trade states</w:t>
      </w:r>
    </w:p>
    <w:p>
      <w:r>
        <w:t>CREATED → QUOTING → QUOTED → ACCEPTED → FUNDING_REQUIRED / FUNDED → EXECUTING_FX → FX_EXECUTED → SETTLING → SETTLED. Include explicit terminal/exception states: QUOTE_EXPIRED, REJECTED, FAILED, CANCELLED, REVERSAL_PENDING, REVERSED, MANUAL_REVIEW.</w:t>
      </w:r>
    </w:p>
    <w:p>
      <w:pPr>
        <w:pStyle w:val="Heading2"/>
      </w:pPr>
      <w:r>
        <w:t>Settlement instruction states</w:t>
      </w:r>
    </w:p>
    <w:p>
      <w:r>
        <w:t>CREATED → SUBMITTED → PROVIDER_ACCEPTED → PROCESSING → CONFIRMED / FAILED / UNKNOWN. UNKNOWN is important: a timeout is not a failure. The engine must query the provider or await evidence before deciding whether to retry.</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024"/>
            <w:shd w:fill="101417"/>
            <w:tcMar>
              <w:top w:w="120" w:type="dxa"/>
              <w:start w:w="140" w:type="dxa"/>
              <w:bottom w:w="120" w:type="dxa"/>
              <w:end w:w="140" w:type="dxa"/>
            </w:tcMar>
          </w:tcPr>
          <w:p>
            <w:r>
              <w:rPr>
                <w:b/>
                <w:color w:val="F3F1EA"/>
                <w:sz w:val="15"/>
              </w:rPr>
              <w:t>FAILURE</w:t>
            </w:r>
          </w:p>
        </w:tc>
        <w:tc>
          <w:tcPr>
            <w:tcW w:type="dxa" w:w="5472"/>
            <w:shd w:fill="101417"/>
            <w:tcMar>
              <w:top w:w="120" w:type="dxa"/>
              <w:start w:w="140" w:type="dxa"/>
              <w:bottom w:w="120" w:type="dxa"/>
              <w:end w:w="140" w:type="dxa"/>
            </w:tcMar>
          </w:tcPr>
          <w:p>
            <w:r>
              <w:rPr>
                <w:b/>
                <w:color w:val="F3F1EA"/>
                <w:sz w:val="15"/>
              </w:rPr>
              <w:t>REQUIRED BEHAVIOUR</w:t>
            </w:r>
          </w:p>
        </w:tc>
        <w:tc>
          <w:tcPr>
            <w:tcW w:type="dxa" w:w="2448"/>
            <w:shd w:fill="101417"/>
            <w:tcMar>
              <w:top w:w="120" w:type="dxa"/>
              <w:start w:w="140" w:type="dxa"/>
              <w:bottom w:w="120" w:type="dxa"/>
              <w:end w:w="140" w:type="dxa"/>
            </w:tcMar>
          </w:tcPr>
          <w:p>
            <w:r>
              <w:rPr>
                <w:b/>
                <w:color w:val="F3F1EA"/>
                <w:sz w:val="15"/>
              </w:rPr>
              <w:t>PRINCIPLE</w:t>
            </w:r>
          </w:p>
        </w:tc>
      </w:tr>
      <w:tr>
        <w:tc>
          <w:tcPr>
            <w:tcW w:type="dxa" w:w="3024"/>
            <w:tcMar>
              <w:top w:w="120" w:type="dxa"/>
              <w:start w:w="140" w:type="dxa"/>
              <w:bottom w:w="120" w:type="dxa"/>
              <w:end w:w="140" w:type="dxa"/>
            </w:tcMar>
            <w:vAlign w:val="top"/>
          </w:tcPr>
          <w:p>
            <w:r>
              <w:rPr>
                <w:b/>
                <w:sz w:val="15"/>
              </w:rPr>
              <w:t>Timeout before provider acknowledgement</w:t>
            </w:r>
          </w:p>
        </w:tc>
        <w:tc>
          <w:tcPr>
            <w:tcW w:type="dxa" w:w="5472"/>
            <w:tcMar>
              <w:top w:w="120" w:type="dxa"/>
              <w:start w:w="140" w:type="dxa"/>
              <w:bottom w:w="120" w:type="dxa"/>
              <w:end w:w="140" w:type="dxa"/>
            </w:tcMar>
            <w:vAlign w:val="top"/>
          </w:tcPr>
          <w:p>
            <w:r>
              <w:rPr>
                <w:sz w:val="15"/>
              </w:rPr>
              <w:t>Do not blindly retry. Query by client reference / idempotency key.</w:t>
            </w:r>
          </w:p>
        </w:tc>
        <w:tc>
          <w:tcPr>
            <w:tcW w:type="dxa" w:w="2448"/>
            <w:tcMar>
              <w:top w:w="120" w:type="dxa"/>
              <w:start w:w="140" w:type="dxa"/>
              <w:bottom w:w="120" w:type="dxa"/>
              <w:end w:w="140" w:type="dxa"/>
            </w:tcMar>
            <w:vAlign w:val="top"/>
          </w:tcPr>
          <w:p>
            <w:r>
              <w:rPr>
                <w:sz w:val="15"/>
              </w:rPr>
              <w:t>Avoid duplicate money movement</w:t>
            </w:r>
          </w:p>
        </w:tc>
      </w:tr>
      <w:tr>
        <w:tc>
          <w:tcPr>
            <w:tcW w:type="dxa" w:w="3024"/>
            <w:tcMar>
              <w:top w:w="120" w:type="dxa"/>
              <w:start w:w="140" w:type="dxa"/>
              <w:bottom w:w="120" w:type="dxa"/>
              <w:end w:w="140" w:type="dxa"/>
            </w:tcMar>
            <w:vAlign w:val="top"/>
          </w:tcPr>
          <w:p>
            <w:r>
              <w:rPr>
                <w:b/>
                <w:sz w:val="15"/>
              </w:rPr>
              <w:t>Duplicate webhook</w:t>
            </w:r>
          </w:p>
        </w:tc>
        <w:tc>
          <w:tcPr>
            <w:tcW w:type="dxa" w:w="5472"/>
            <w:tcMar>
              <w:top w:w="120" w:type="dxa"/>
              <w:start w:w="140" w:type="dxa"/>
              <w:bottom w:w="120" w:type="dxa"/>
              <w:end w:w="140" w:type="dxa"/>
            </w:tcMar>
            <w:vAlign w:val="top"/>
          </w:tcPr>
          <w:p>
            <w:r>
              <w:rPr>
                <w:sz w:val="15"/>
              </w:rPr>
              <w:t>Deduplicate using provider event ID + business reference.</w:t>
            </w:r>
          </w:p>
        </w:tc>
        <w:tc>
          <w:tcPr>
            <w:tcW w:type="dxa" w:w="2448"/>
            <w:tcMar>
              <w:top w:w="120" w:type="dxa"/>
              <w:start w:w="140" w:type="dxa"/>
              <w:bottom w:w="120" w:type="dxa"/>
              <w:end w:w="140" w:type="dxa"/>
            </w:tcMar>
            <w:vAlign w:val="top"/>
          </w:tcPr>
          <w:p>
            <w:r>
              <w:rPr>
                <w:sz w:val="15"/>
              </w:rPr>
              <w:t>Exactly-once economic effect</w:t>
            </w:r>
          </w:p>
        </w:tc>
      </w:tr>
      <w:tr>
        <w:tc>
          <w:tcPr>
            <w:tcW w:type="dxa" w:w="3024"/>
            <w:tcMar>
              <w:top w:w="120" w:type="dxa"/>
              <w:start w:w="140" w:type="dxa"/>
              <w:bottom w:w="120" w:type="dxa"/>
              <w:end w:w="140" w:type="dxa"/>
            </w:tcMar>
            <w:vAlign w:val="top"/>
          </w:tcPr>
          <w:p>
            <w:r>
              <w:rPr>
                <w:b/>
                <w:sz w:val="15"/>
              </w:rPr>
              <w:t>Provider says success, callback lost</w:t>
            </w:r>
          </w:p>
        </w:tc>
        <w:tc>
          <w:tcPr>
            <w:tcW w:type="dxa" w:w="5472"/>
            <w:tcMar>
              <w:top w:w="120" w:type="dxa"/>
              <w:start w:w="140" w:type="dxa"/>
              <w:bottom w:w="120" w:type="dxa"/>
              <w:end w:w="140" w:type="dxa"/>
            </w:tcMar>
            <w:vAlign w:val="top"/>
          </w:tcPr>
          <w:p>
            <w:r>
              <w:rPr>
                <w:sz w:val="15"/>
              </w:rPr>
              <w:t>Polling/reconciliation can advance state.</w:t>
            </w:r>
          </w:p>
        </w:tc>
        <w:tc>
          <w:tcPr>
            <w:tcW w:type="dxa" w:w="2448"/>
            <w:tcMar>
              <w:top w:w="120" w:type="dxa"/>
              <w:start w:w="140" w:type="dxa"/>
              <w:bottom w:w="120" w:type="dxa"/>
              <w:end w:w="140" w:type="dxa"/>
            </w:tcMar>
            <w:vAlign w:val="top"/>
          </w:tcPr>
          <w:p>
            <w:r>
              <w:rPr>
                <w:sz w:val="15"/>
              </w:rPr>
              <w:t>Multiple evidence paths</w:t>
            </w:r>
          </w:p>
        </w:tc>
      </w:tr>
      <w:tr>
        <w:tc>
          <w:tcPr>
            <w:tcW w:type="dxa" w:w="3024"/>
            <w:tcMar>
              <w:top w:w="120" w:type="dxa"/>
              <w:start w:w="140" w:type="dxa"/>
              <w:bottom w:w="120" w:type="dxa"/>
              <w:end w:w="140" w:type="dxa"/>
            </w:tcMar>
            <w:vAlign w:val="top"/>
          </w:tcPr>
          <w:p>
            <w:r>
              <w:rPr>
                <w:b/>
                <w:sz w:val="15"/>
              </w:rPr>
              <w:t>One FX leg succeeds, payout fails</w:t>
            </w:r>
          </w:p>
        </w:tc>
        <w:tc>
          <w:tcPr>
            <w:tcW w:type="dxa" w:w="5472"/>
            <w:tcMar>
              <w:top w:w="120" w:type="dxa"/>
              <w:start w:w="140" w:type="dxa"/>
              <w:bottom w:w="120" w:type="dxa"/>
              <w:end w:w="140" w:type="dxa"/>
            </w:tcMar>
            <w:vAlign w:val="top"/>
          </w:tcPr>
          <w:p>
            <w:r>
              <w:rPr>
                <w:sz w:val="15"/>
              </w:rPr>
              <w:t>Hold resulting asset; retry approved route or enter manual workflow.</w:t>
            </w:r>
          </w:p>
        </w:tc>
        <w:tc>
          <w:tcPr>
            <w:tcW w:type="dxa" w:w="2448"/>
            <w:tcMar>
              <w:top w:w="120" w:type="dxa"/>
              <w:start w:w="140" w:type="dxa"/>
              <w:bottom w:w="120" w:type="dxa"/>
              <w:end w:w="140" w:type="dxa"/>
            </w:tcMar>
            <w:vAlign w:val="top"/>
          </w:tcPr>
          <w:p>
            <w:r>
              <w:rPr>
                <w:sz w:val="15"/>
              </w:rPr>
              <w:t>Do not erase completed leg</w:t>
            </w:r>
          </w:p>
        </w:tc>
      </w:tr>
      <w:tr>
        <w:tc>
          <w:tcPr>
            <w:tcW w:type="dxa" w:w="3024"/>
            <w:tcMar>
              <w:top w:w="120" w:type="dxa"/>
              <w:start w:w="140" w:type="dxa"/>
              <w:bottom w:w="120" w:type="dxa"/>
              <w:end w:w="140" w:type="dxa"/>
            </w:tcMar>
            <w:vAlign w:val="top"/>
          </w:tcPr>
          <w:p>
            <w:r>
              <w:rPr>
                <w:b/>
                <w:sz w:val="15"/>
              </w:rPr>
              <w:t>Quote expires after acceptance race</w:t>
            </w:r>
          </w:p>
        </w:tc>
        <w:tc>
          <w:tcPr>
            <w:tcW w:type="dxa" w:w="5472"/>
            <w:tcMar>
              <w:top w:w="120" w:type="dxa"/>
              <w:start w:w="140" w:type="dxa"/>
              <w:bottom w:w="120" w:type="dxa"/>
              <w:end w:w="140" w:type="dxa"/>
            </w:tcMar>
            <w:vAlign w:val="top"/>
          </w:tcPr>
          <w:p>
            <w:r>
              <w:rPr>
                <w:sz w:val="15"/>
              </w:rPr>
              <w:t>Acceptance transaction must compare expiry under lock/transaction.</w:t>
            </w:r>
          </w:p>
        </w:tc>
        <w:tc>
          <w:tcPr>
            <w:tcW w:type="dxa" w:w="2448"/>
            <w:tcMar>
              <w:top w:w="120" w:type="dxa"/>
              <w:start w:w="140" w:type="dxa"/>
              <w:bottom w:w="120" w:type="dxa"/>
              <w:end w:w="140" w:type="dxa"/>
            </w:tcMar>
            <w:vAlign w:val="top"/>
          </w:tcPr>
          <w:p>
            <w:r>
              <w:rPr>
                <w:sz w:val="15"/>
              </w:rPr>
              <w:t>No stale economics</w:t>
            </w:r>
          </w:p>
        </w:tc>
      </w:tr>
      <w:tr>
        <w:tc>
          <w:tcPr>
            <w:tcW w:type="dxa" w:w="3024"/>
            <w:tcMar>
              <w:top w:w="120" w:type="dxa"/>
              <w:start w:w="140" w:type="dxa"/>
              <w:bottom w:w="120" w:type="dxa"/>
              <w:end w:w="140" w:type="dxa"/>
            </w:tcMar>
            <w:vAlign w:val="top"/>
          </w:tcPr>
          <w:p>
            <w:r>
              <w:rPr>
                <w:b/>
                <w:sz w:val="15"/>
              </w:rPr>
              <w:t>Service restarts mid-trade</w:t>
            </w:r>
          </w:p>
        </w:tc>
        <w:tc>
          <w:tcPr>
            <w:tcW w:type="dxa" w:w="5472"/>
            <w:tcMar>
              <w:top w:w="120" w:type="dxa"/>
              <w:start w:w="140" w:type="dxa"/>
              <w:bottom w:w="120" w:type="dxa"/>
              <w:end w:w="140" w:type="dxa"/>
            </w:tcMar>
            <w:vAlign w:val="top"/>
          </w:tcPr>
          <w:p>
            <w:r>
              <w:rPr>
                <w:sz w:val="15"/>
              </w:rPr>
              <w:t>Workflow resumes from persisted durable state.</w:t>
            </w:r>
          </w:p>
        </w:tc>
        <w:tc>
          <w:tcPr>
            <w:tcW w:type="dxa" w:w="2448"/>
            <w:tcMar>
              <w:top w:w="120" w:type="dxa"/>
              <w:start w:w="140" w:type="dxa"/>
              <w:bottom w:w="120" w:type="dxa"/>
              <w:end w:w="140" w:type="dxa"/>
            </w:tcMar>
            <w:vAlign w:val="top"/>
          </w:tcPr>
          <w:p>
            <w:r>
              <w:rPr>
                <w:sz w:val="15"/>
              </w:rPr>
              <w:t>No operator reconstruction</w:t>
            </w:r>
          </w:p>
        </w:tc>
      </w:tr>
    </w:tbl>
    <w:p>
      <w:pPr>
        <w:pStyle w:val="Heading2"/>
      </w:pPr>
      <w:r>
        <w:t>Idempotency</w:t>
      </w:r>
    </w:p>
    <w:p>
      <w:r>
        <w:t>Every externally exposed money-moving command requires an idempotency key scoped to customer + endpoint/operation. Persist request fingerprint, response and resulting business object. Same key + same payload returns same result; same key + different payload must reject. Provider adapters should also generate stable client references so retries cannot create another transfer.</w:t>
      </w:r>
    </w:p>
    <w:p>
      <w:r>
        <w:br w:type="page"/>
      </w:r>
    </w:p>
    <w:p>
      <w:pPr>
        <w:pStyle w:val="OsaiMono"/>
      </w:pPr>
      <w:r>
        <w:t>06 / EXECUTION INTELLIGENCE</w:t>
      </w:r>
    </w:p>
    <w:p>
      <w:pPr>
        <w:pStyle w:val="Heading1"/>
      </w:pPr>
      <w:r>
        <w:t>6. Quote, liquidity and routing engine</w:t>
      </w:r>
    </w:p>
    <w:p>
      <w:r>
        <w:t>The engine must not simply choose the “best FX rate.” It should optimize the all-in delivered outcome, subject to policy.</w:t>
      </w:r>
    </w:p>
    <w:p>
      <w:pPr>
        <w:pStyle w:val="Heading2"/>
      </w:pPr>
      <w:r>
        <w:t>Quote inputs</w:t>
      </w:r>
    </w:p>
    <w:p>
      <w:pPr>
        <w:pStyle w:val="ListBullet"/>
        <w:spacing w:after="40"/>
      </w:pPr>
      <w:r>
        <w:t>Sell currency and amount or buy currency and target amount.</w:t>
      </w:r>
    </w:p>
    <w:p>
      <w:pPr>
        <w:pStyle w:val="ListBullet"/>
        <w:spacing w:after="40"/>
      </w:pPr>
      <w:r>
        <w:t>Destination country/account/rail requirements.</w:t>
      </w:r>
    </w:p>
    <w:p>
      <w:pPr>
        <w:pStyle w:val="ListBullet"/>
        <w:spacing w:after="40"/>
      </w:pPr>
      <w:r>
        <w:t>Customer tier, limits and compliance state.</w:t>
      </w:r>
    </w:p>
    <w:p>
      <w:pPr>
        <w:pStyle w:val="ListBullet"/>
        <w:spacing w:after="40"/>
      </w:pPr>
      <w:r>
        <w:t>Required settlement window or SLA.</w:t>
      </w:r>
    </w:p>
    <w:p>
      <w:pPr>
        <w:pStyle w:val="ListBullet"/>
        <w:spacing w:after="40"/>
      </w:pPr>
      <w:r>
        <w:t>Provider liquidity depth and quote expiry.</w:t>
      </w:r>
    </w:p>
    <w:p>
      <w:pPr>
        <w:pStyle w:val="ListBullet"/>
        <w:spacing w:after="40"/>
      </w:pPr>
      <w:r>
        <w:t>FX rate, explicit fee, payout fee, network/gas fee, expected slippage, funding cost where applicable.</w:t>
      </w:r>
    </w:p>
    <w:p>
      <w:pPr>
        <w:pStyle w:val="ListBullet"/>
        <w:spacing w:after="40"/>
      </w:pPr>
      <w:r>
        <w:t>Provider health, observed failure rate, expected settlement time, current exposure and concentration limits.</w:t>
      </w:r>
    </w:p>
    <w:p>
      <w:pPr>
        <w:pStyle w:val="Heading2"/>
      </w:pPr>
      <w:r>
        <w:t>Provider adapter contract</w:t>
      </w:r>
    </w:p>
    <w:p>
      <w:r>
        <w:t>Every liquidity/settlement provider should implement a normalized interface so Osai logic is not polluted by provider-specific semantics.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456"/>
            <w:shd w:fill="101417"/>
            <w:tcMar>
              <w:top w:w="120" w:type="dxa"/>
              <w:start w:w="140" w:type="dxa"/>
              <w:bottom w:w="120" w:type="dxa"/>
              <w:end w:w="140" w:type="dxa"/>
            </w:tcMar>
          </w:tcPr>
          <w:p>
            <w:r>
              <w:rPr>
                <w:b/>
                <w:color w:val="F3F1EA"/>
                <w:sz w:val="15"/>
              </w:rPr>
              <w:t>INTERFACE</w:t>
            </w:r>
          </w:p>
        </w:tc>
        <w:tc>
          <w:tcPr>
            <w:tcW w:type="dxa" w:w="7488"/>
            <w:shd w:fill="101417"/>
            <w:tcMar>
              <w:top w:w="120" w:type="dxa"/>
              <w:start w:w="140" w:type="dxa"/>
              <w:bottom w:w="120" w:type="dxa"/>
              <w:end w:w="140" w:type="dxa"/>
            </w:tcMar>
          </w:tcPr>
          <w:p>
            <w:r>
              <w:rPr>
                <w:b/>
                <w:color w:val="F3F1EA"/>
                <w:sz w:val="15"/>
              </w:rPr>
              <w:t>EXPECTED OUTPUT / BEHAVIOUR</w:t>
            </w:r>
          </w:p>
        </w:tc>
      </w:tr>
      <w:tr>
        <w:tc>
          <w:tcPr>
            <w:tcW w:type="dxa" w:w="3456"/>
            <w:tcMar>
              <w:top w:w="120" w:type="dxa"/>
              <w:start w:w="140" w:type="dxa"/>
              <w:bottom w:w="120" w:type="dxa"/>
              <w:end w:w="140" w:type="dxa"/>
            </w:tcMar>
            <w:vAlign w:val="top"/>
          </w:tcPr>
          <w:p>
            <w:r>
              <w:rPr>
                <w:b/>
                <w:sz w:val="15"/>
              </w:rPr>
              <w:t>get_quote(request)</w:t>
            </w:r>
          </w:p>
        </w:tc>
        <w:tc>
          <w:tcPr>
            <w:tcW w:type="dxa" w:w="7488"/>
            <w:tcMar>
              <w:top w:w="120" w:type="dxa"/>
              <w:start w:w="140" w:type="dxa"/>
              <w:bottom w:w="120" w:type="dxa"/>
              <w:end w:w="140" w:type="dxa"/>
            </w:tcMar>
            <w:vAlign w:val="top"/>
          </w:tcPr>
          <w:p>
            <w:r>
              <w:rPr>
                <w:sz w:val="15"/>
              </w:rPr>
              <w:t>Returns normalized rate, fees, amount, expiry, provider quote ID, min/max and settlement conditions.</w:t>
            </w:r>
          </w:p>
        </w:tc>
      </w:tr>
      <w:tr>
        <w:tc>
          <w:tcPr>
            <w:tcW w:type="dxa" w:w="3456"/>
            <w:tcMar>
              <w:top w:w="120" w:type="dxa"/>
              <w:start w:w="140" w:type="dxa"/>
              <w:bottom w:w="120" w:type="dxa"/>
              <w:end w:w="140" w:type="dxa"/>
            </w:tcMar>
            <w:vAlign w:val="top"/>
          </w:tcPr>
          <w:p>
            <w:r>
              <w:rPr>
                <w:b/>
                <w:sz w:val="15"/>
              </w:rPr>
              <w:t>accept_quote(provider_quote_id)</w:t>
            </w:r>
          </w:p>
        </w:tc>
        <w:tc>
          <w:tcPr>
            <w:tcW w:type="dxa" w:w="7488"/>
            <w:tcMar>
              <w:top w:w="120" w:type="dxa"/>
              <w:start w:w="140" w:type="dxa"/>
              <w:bottom w:w="120" w:type="dxa"/>
              <w:end w:w="140" w:type="dxa"/>
            </w:tcMar>
            <w:vAlign w:val="top"/>
          </w:tcPr>
          <w:p>
            <w:r>
              <w:rPr>
                <w:sz w:val="15"/>
              </w:rPr>
              <w:t>Locks/executes quote if provider requires explicit acceptance.</w:t>
            </w:r>
          </w:p>
        </w:tc>
      </w:tr>
      <w:tr>
        <w:tc>
          <w:tcPr>
            <w:tcW w:type="dxa" w:w="3456"/>
            <w:tcMar>
              <w:top w:w="120" w:type="dxa"/>
              <w:start w:w="140" w:type="dxa"/>
              <w:bottom w:w="120" w:type="dxa"/>
              <w:end w:w="140" w:type="dxa"/>
            </w:tcMar>
            <w:vAlign w:val="top"/>
          </w:tcPr>
          <w:p>
            <w:r>
              <w:rPr>
                <w:b/>
                <w:sz w:val="15"/>
              </w:rPr>
              <w:t>create_transfer(instruction)</w:t>
            </w:r>
          </w:p>
        </w:tc>
        <w:tc>
          <w:tcPr>
            <w:tcW w:type="dxa" w:w="7488"/>
            <w:tcMar>
              <w:top w:w="120" w:type="dxa"/>
              <w:start w:w="140" w:type="dxa"/>
              <w:bottom w:w="120" w:type="dxa"/>
              <w:end w:w="140" w:type="dxa"/>
            </w:tcMar>
            <w:vAlign w:val="top"/>
          </w:tcPr>
          <w:p>
            <w:r>
              <w:rPr>
                <w:sz w:val="15"/>
              </w:rPr>
              <w:t>Creates settlement instruction using stable client reference.</w:t>
            </w:r>
          </w:p>
        </w:tc>
      </w:tr>
      <w:tr>
        <w:tc>
          <w:tcPr>
            <w:tcW w:type="dxa" w:w="3456"/>
            <w:tcMar>
              <w:top w:w="120" w:type="dxa"/>
              <w:start w:w="140" w:type="dxa"/>
              <w:bottom w:w="120" w:type="dxa"/>
              <w:end w:w="140" w:type="dxa"/>
            </w:tcMar>
            <w:vAlign w:val="top"/>
          </w:tcPr>
          <w:p>
            <w:r>
              <w:rPr>
                <w:b/>
                <w:sz w:val="15"/>
              </w:rPr>
              <w:t>get_transfer(reference)</w:t>
            </w:r>
          </w:p>
        </w:tc>
        <w:tc>
          <w:tcPr>
            <w:tcW w:type="dxa" w:w="7488"/>
            <w:tcMar>
              <w:top w:w="120" w:type="dxa"/>
              <w:start w:w="140" w:type="dxa"/>
              <w:bottom w:w="120" w:type="dxa"/>
              <w:end w:w="140" w:type="dxa"/>
            </w:tcMar>
            <w:vAlign w:val="top"/>
          </w:tcPr>
          <w:p>
            <w:r>
              <w:rPr>
                <w:sz w:val="15"/>
              </w:rPr>
              <w:t>Returns normalized provider state and evidence.</w:t>
            </w:r>
          </w:p>
        </w:tc>
      </w:tr>
      <w:tr>
        <w:tc>
          <w:tcPr>
            <w:tcW w:type="dxa" w:w="3456"/>
            <w:tcMar>
              <w:top w:w="120" w:type="dxa"/>
              <w:start w:w="140" w:type="dxa"/>
              <w:bottom w:w="120" w:type="dxa"/>
              <w:end w:w="140" w:type="dxa"/>
            </w:tcMar>
            <w:vAlign w:val="top"/>
          </w:tcPr>
          <w:p>
            <w:r>
              <w:rPr>
                <w:b/>
                <w:sz w:val="15"/>
              </w:rPr>
              <w:t>get_balance(currency/account)</w:t>
            </w:r>
          </w:p>
        </w:tc>
        <w:tc>
          <w:tcPr>
            <w:tcW w:type="dxa" w:w="7488"/>
            <w:tcMar>
              <w:top w:w="120" w:type="dxa"/>
              <w:start w:w="140" w:type="dxa"/>
              <w:bottom w:w="120" w:type="dxa"/>
              <w:end w:w="140" w:type="dxa"/>
            </w:tcMar>
            <w:vAlign w:val="top"/>
          </w:tcPr>
          <w:p>
            <w:r>
              <w:rPr>
                <w:sz w:val="15"/>
              </w:rPr>
              <w:t>Returns external available/ledger balance where supported.</w:t>
            </w:r>
          </w:p>
        </w:tc>
      </w:tr>
      <w:tr>
        <w:tc>
          <w:tcPr>
            <w:tcW w:type="dxa" w:w="3456"/>
            <w:tcMar>
              <w:top w:w="120" w:type="dxa"/>
              <w:start w:w="140" w:type="dxa"/>
              <w:bottom w:w="120" w:type="dxa"/>
              <w:end w:w="140" w:type="dxa"/>
            </w:tcMar>
            <w:vAlign w:val="top"/>
          </w:tcPr>
          <w:p>
            <w:r>
              <w:rPr>
                <w:b/>
                <w:sz w:val="15"/>
              </w:rPr>
              <w:t>list_transactions(window)</w:t>
            </w:r>
          </w:p>
        </w:tc>
        <w:tc>
          <w:tcPr>
            <w:tcW w:type="dxa" w:w="7488"/>
            <w:tcMar>
              <w:top w:w="120" w:type="dxa"/>
              <w:start w:w="140" w:type="dxa"/>
              <w:bottom w:w="120" w:type="dxa"/>
              <w:end w:w="140" w:type="dxa"/>
            </w:tcMar>
            <w:vAlign w:val="top"/>
          </w:tcPr>
          <w:p>
            <w:r>
              <w:rPr>
                <w:sz w:val="15"/>
              </w:rPr>
              <w:t>Supports reconciliation and recovery.</w:t>
            </w:r>
          </w:p>
        </w:tc>
      </w:tr>
      <w:tr>
        <w:tc>
          <w:tcPr>
            <w:tcW w:type="dxa" w:w="3456"/>
            <w:tcMar>
              <w:top w:w="120" w:type="dxa"/>
              <w:start w:w="140" w:type="dxa"/>
              <w:bottom w:w="120" w:type="dxa"/>
              <w:end w:w="140" w:type="dxa"/>
            </w:tcMar>
            <w:vAlign w:val="top"/>
          </w:tcPr>
          <w:p>
            <w:r>
              <w:rPr>
                <w:b/>
                <w:sz w:val="15"/>
              </w:rPr>
              <w:t>verify_webhook(raw, headers)</w:t>
            </w:r>
          </w:p>
        </w:tc>
        <w:tc>
          <w:tcPr>
            <w:tcW w:type="dxa" w:w="7488"/>
            <w:tcMar>
              <w:top w:w="120" w:type="dxa"/>
              <w:start w:w="140" w:type="dxa"/>
              <w:bottom w:w="120" w:type="dxa"/>
              <w:end w:w="140" w:type="dxa"/>
            </w:tcMar>
            <w:vAlign w:val="top"/>
          </w:tcPr>
          <w:p>
            <w:r>
              <w:rPr>
                <w:sz w:val="15"/>
              </w:rPr>
              <w:t>Authenticates and normalizes callback event.</w:t>
            </w:r>
          </w:p>
        </w:tc>
      </w:tr>
      <w:tr>
        <w:tc>
          <w:tcPr>
            <w:tcW w:type="dxa" w:w="3456"/>
            <w:tcMar>
              <w:top w:w="120" w:type="dxa"/>
              <w:start w:w="140" w:type="dxa"/>
              <w:bottom w:w="120" w:type="dxa"/>
              <w:end w:w="140" w:type="dxa"/>
            </w:tcMar>
            <w:vAlign w:val="top"/>
          </w:tcPr>
          <w:p>
            <w:r>
              <w:rPr>
                <w:b/>
                <w:sz w:val="15"/>
              </w:rPr>
              <w:t>health()</w:t>
            </w:r>
          </w:p>
        </w:tc>
        <w:tc>
          <w:tcPr>
            <w:tcW w:type="dxa" w:w="7488"/>
            <w:tcMar>
              <w:top w:w="120" w:type="dxa"/>
              <w:start w:w="140" w:type="dxa"/>
              <w:bottom w:w="120" w:type="dxa"/>
              <w:end w:w="140" w:type="dxa"/>
            </w:tcMar>
            <w:vAlign w:val="top"/>
          </w:tcPr>
          <w:p>
            <w:r>
              <w:rPr>
                <w:sz w:val="15"/>
              </w:rPr>
              <w:t>Operational health, latency and capability metadata.</w:t>
            </w:r>
          </w:p>
        </w:tc>
      </w:tr>
    </w:tbl>
    <w:p>
      <w:pPr>
        <w:pStyle w:val="Heading2"/>
      </w:pPr>
      <w:r>
        <w:t>Routing V1</w:t>
      </w:r>
    </w:p>
    <w:p>
      <w:r>
        <w:t>Use transparent deterministic scoring, not opaque AI. Filter ineligible providers first, then rank eligible routes using all-in cost, available depth, SLA/reliability, current exposure, settlement compatibility and policy weights. Persist every candidate and the reason the selected route won so decisions can be audited.</w:t>
      </w:r>
    </w:p>
    <w:p>
      <w:r>
        <w:br w:type="page"/>
      </w:r>
    </w:p>
    <w:p>
      <w:pPr>
        <w:pStyle w:val="OsaiMono"/>
      </w:pPr>
      <w:r>
        <w:t>07 / EXTERNAL INTERFACE</w:t>
      </w:r>
    </w:p>
    <w:p>
      <w:pPr>
        <w:pStyle w:val="Heading1"/>
      </w:pPr>
      <w:r>
        <w:t>7. API contract and developer experience</w:t>
      </w:r>
    </w:p>
    <w:p>
      <w:r>
        <w:t>The API should feel small even though the system underneath is complex. Version from day one, use stable resource IDs, machine-readable errors and signed webhooks.</w:t>
      </w:r>
    </w:p>
    <w:p>
      <w:pPr>
        <w:pStyle w:val="Heading2"/>
      </w:pPr>
      <w:r>
        <w:t>Minimum V1 endpoints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888"/>
            <w:shd w:fill="101417"/>
            <w:tcMar>
              <w:top w:w="120" w:type="dxa"/>
              <w:start w:w="140" w:type="dxa"/>
              <w:bottom w:w="120" w:type="dxa"/>
              <w:end w:w="140" w:type="dxa"/>
            </w:tcMar>
          </w:tcPr>
          <w:p>
            <w:r>
              <w:rPr>
                <w:b/>
                <w:color w:val="F3F1EA"/>
                <w:sz w:val="15"/>
              </w:rPr>
              <w:t>ENDPOINT</w:t>
            </w:r>
          </w:p>
        </w:tc>
        <w:tc>
          <w:tcPr>
            <w:tcW w:type="dxa" w:w="7056"/>
            <w:shd w:fill="101417"/>
            <w:tcMar>
              <w:top w:w="120" w:type="dxa"/>
              <w:start w:w="140" w:type="dxa"/>
              <w:bottom w:w="120" w:type="dxa"/>
              <w:end w:w="140" w:type="dxa"/>
            </w:tcMar>
          </w:tcPr>
          <w:p>
            <w:r>
              <w:rPr>
                <w:b/>
                <w:color w:val="F3F1EA"/>
                <w:sz w:val="15"/>
              </w:rPr>
              <w:t>PURPOSE</w:t>
            </w:r>
          </w:p>
        </w:tc>
      </w:tr>
      <w:tr>
        <w:tc>
          <w:tcPr>
            <w:tcW w:type="dxa" w:w="3888"/>
            <w:tcMar>
              <w:top w:w="120" w:type="dxa"/>
              <w:start w:w="140" w:type="dxa"/>
              <w:bottom w:w="120" w:type="dxa"/>
              <w:end w:w="140" w:type="dxa"/>
            </w:tcMar>
            <w:vAlign w:val="top"/>
          </w:tcPr>
          <w:p>
            <w:r>
              <w:rPr>
                <w:b/>
                <w:sz w:val="15"/>
              </w:rPr>
              <w:t>POST /v1/quotes</w:t>
            </w:r>
          </w:p>
        </w:tc>
        <w:tc>
          <w:tcPr>
            <w:tcW w:type="dxa" w:w="7056"/>
            <w:tcMar>
              <w:top w:w="120" w:type="dxa"/>
              <w:start w:w="140" w:type="dxa"/>
              <w:bottom w:w="120" w:type="dxa"/>
              <w:end w:w="140" w:type="dxa"/>
            </w:tcMar>
            <w:vAlign w:val="top"/>
          </w:tcPr>
          <w:p>
            <w:r>
              <w:rPr>
                <w:sz w:val="15"/>
              </w:rPr>
              <w:t>Create executable quote request.</w:t>
            </w:r>
          </w:p>
        </w:tc>
      </w:tr>
      <w:tr>
        <w:tc>
          <w:tcPr>
            <w:tcW w:type="dxa" w:w="3888"/>
            <w:tcMar>
              <w:top w:w="120" w:type="dxa"/>
              <w:start w:w="140" w:type="dxa"/>
              <w:bottom w:w="120" w:type="dxa"/>
              <w:end w:w="140" w:type="dxa"/>
            </w:tcMar>
            <w:vAlign w:val="top"/>
          </w:tcPr>
          <w:p>
            <w:r>
              <w:rPr>
                <w:b/>
                <w:sz w:val="15"/>
              </w:rPr>
              <w:t>GET /v1/quotes/{id}</w:t>
            </w:r>
          </w:p>
        </w:tc>
        <w:tc>
          <w:tcPr>
            <w:tcW w:type="dxa" w:w="7056"/>
            <w:tcMar>
              <w:top w:w="120" w:type="dxa"/>
              <w:start w:w="140" w:type="dxa"/>
              <w:bottom w:w="120" w:type="dxa"/>
              <w:end w:w="140" w:type="dxa"/>
            </w:tcMar>
            <w:vAlign w:val="top"/>
          </w:tcPr>
          <w:p>
            <w:r>
              <w:rPr>
                <w:sz w:val="15"/>
              </w:rPr>
              <w:t>Retrieve quote and expiry.</w:t>
            </w:r>
          </w:p>
        </w:tc>
      </w:tr>
      <w:tr>
        <w:tc>
          <w:tcPr>
            <w:tcW w:type="dxa" w:w="3888"/>
            <w:tcMar>
              <w:top w:w="120" w:type="dxa"/>
              <w:start w:w="140" w:type="dxa"/>
              <w:bottom w:w="120" w:type="dxa"/>
              <w:end w:w="140" w:type="dxa"/>
            </w:tcMar>
            <w:vAlign w:val="top"/>
          </w:tcPr>
          <w:p>
            <w:r>
              <w:rPr>
                <w:b/>
                <w:sz w:val="15"/>
              </w:rPr>
              <w:t>POST /v1/quotes/{id}/accept</w:t>
            </w:r>
          </w:p>
        </w:tc>
        <w:tc>
          <w:tcPr>
            <w:tcW w:type="dxa" w:w="7056"/>
            <w:tcMar>
              <w:top w:w="120" w:type="dxa"/>
              <w:start w:w="140" w:type="dxa"/>
              <w:bottom w:w="120" w:type="dxa"/>
              <w:end w:w="140" w:type="dxa"/>
            </w:tcMar>
            <w:vAlign w:val="top"/>
          </w:tcPr>
          <w:p>
            <w:r>
              <w:rPr>
                <w:sz w:val="15"/>
              </w:rPr>
              <w:t>Accept quote and create trade.</w:t>
            </w:r>
          </w:p>
        </w:tc>
      </w:tr>
      <w:tr>
        <w:tc>
          <w:tcPr>
            <w:tcW w:type="dxa" w:w="3888"/>
            <w:tcMar>
              <w:top w:w="120" w:type="dxa"/>
              <w:start w:w="140" w:type="dxa"/>
              <w:bottom w:w="120" w:type="dxa"/>
              <w:end w:w="140" w:type="dxa"/>
            </w:tcMar>
            <w:vAlign w:val="top"/>
          </w:tcPr>
          <w:p>
            <w:r>
              <w:rPr>
                <w:b/>
                <w:sz w:val="15"/>
              </w:rPr>
              <w:t>GET /v1/trades/{id}</w:t>
            </w:r>
          </w:p>
        </w:tc>
        <w:tc>
          <w:tcPr>
            <w:tcW w:type="dxa" w:w="7056"/>
            <w:tcMar>
              <w:top w:w="120" w:type="dxa"/>
              <w:start w:w="140" w:type="dxa"/>
              <w:bottom w:w="120" w:type="dxa"/>
              <w:end w:w="140" w:type="dxa"/>
            </w:tcMar>
            <w:vAlign w:val="top"/>
          </w:tcPr>
          <w:p>
            <w:r>
              <w:rPr>
                <w:sz w:val="15"/>
              </w:rPr>
              <w:t>Retrieve canonical trade state/timeline.</w:t>
            </w:r>
          </w:p>
        </w:tc>
      </w:tr>
      <w:tr>
        <w:tc>
          <w:tcPr>
            <w:tcW w:type="dxa" w:w="3888"/>
            <w:tcMar>
              <w:top w:w="120" w:type="dxa"/>
              <w:start w:w="140" w:type="dxa"/>
              <w:bottom w:w="120" w:type="dxa"/>
              <w:end w:w="140" w:type="dxa"/>
            </w:tcMar>
            <w:vAlign w:val="top"/>
          </w:tcPr>
          <w:p>
            <w:r>
              <w:rPr>
                <w:b/>
                <w:sz w:val="15"/>
              </w:rPr>
              <w:t>GET /v1/trades</w:t>
            </w:r>
          </w:p>
        </w:tc>
        <w:tc>
          <w:tcPr>
            <w:tcW w:type="dxa" w:w="7056"/>
            <w:tcMar>
              <w:top w:w="120" w:type="dxa"/>
              <w:start w:w="140" w:type="dxa"/>
              <w:bottom w:w="120" w:type="dxa"/>
              <w:end w:w="140" w:type="dxa"/>
            </w:tcMar>
            <w:vAlign w:val="top"/>
          </w:tcPr>
          <w:p>
            <w:r>
              <w:rPr>
                <w:sz w:val="15"/>
              </w:rPr>
              <w:t>Filter by date, currency, status, customer reference.</w:t>
            </w:r>
          </w:p>
        </w:tc>
      </w:tr>
      <w:tr>
        <w:tc>
          <w:tcPr>
            <w:tcW w:type="dxa" w:w="3888"/>
            <w:tcMar>
              <w:top w:w="120" w:type="dxa"/>
              <w:start w:w="140" w:type="dxa"/>
              <w:bottom w:w="120" w:type="dxa"/>
              <w:end w:w="140" w:type="dxa"/>
            </w:tcMar>
            <w:vAlign w:val="top"/>
          </w:tcPr>
          <w:p>
            <w:r>
              <w:rPr>
                <w:b/>
                <w:sz w:val="15"/>
              </w:rPr>
              <w:t>POST /v1/beneficiaries</w:t>
            </w:r>
          </w:p>
        </w:tc>
        <w:tc>
          <w:tcPr>
            <w:tcW w:type="dxa" w:w="7056"/>
            <w:tcMar>
              <w:top w:w="120" w:type="dxa"/>
              <w:start w:w="140" w:type="dxa"/>
              <w:bottom w:w="120" w:type="dxa"/>
              <w:end w:w="140" w:type="dxa"/>
            </w:tcMar>
            <w:vAlign w:val="top"/>
          </w:tcPr>
          <w:p>
            <w:r>
              <w:rPr>
                <w:sz w:val="15"/>
              </w:rPr>
              <w:t>Register/validate settlement beneficiary where required.</w:t>
            </w:r>
          </w:p>
        </w:tc>
      </w:tr>
      <w:tr>
        <w:tc>
          <w:tcPr>
            <w:tcW w:type="dxa" w:w="3888"/>
            <w:tcMar>
              <w:top w:w="120" w:type="dxa"/>
              <w:start w:w="140" w:type="dxa"/>
              <w:bottom w:w="120" w:type="dxa"/>
              <w:end w:w="140" w:type="dxa"/>
            </w:tcMar>
            <w:vAlign w:val="top"/>
          </w:tcPr>
          <w:p>
            <w:r>
              <w:rPr>
                <w:b/>
                <w:sz w:val="15"/>
              </w:rPr>
              <w:t>GET /v1/balances</w:t>
            </w:r>
          </w:p>
        </w:tc>
        <w:tc>
          <w:tcPr>
            <w:tcW w:type="dxa" w:w="7056"/>
            <w:tcMar>
              <w:top w:w="120" w:type="dxa"/>
              <w:start w:w="140" w:type="dxa"/>
              <w:bottom w:w="120" w:type="dxa"/>
              <w:end w:w="140" w:type="dxa"/>
            </w:tcMar>
            <w:vAlign w:val="top"/>
          </w:tcPr>
          <w:p>
            <w:r>
              <w:rPr>
                <w:sz w:val="15"/>
              </w:rPr>
              <w:t>Institution settlement balances by currency/account.</w:t>
            </w:r>
          </w:p>
        </w:tc>
      </w:tr>
      <w:tr>
        <w:tc>
          <w:tcPr>
            <w:tcW w:type="dxa" w:w="3888"/>
            <w:tcMar>
              <w:top w:w="120" w:type="dxa"/>
              <w:start w:w="140" w:type="dxa"/>
              <w:bottom w:w="120" w:type="dxa"/>
              <w:end w:w="140" w:type="dxa"/>
            </w:tcMar>
            <w:vAlign w:val="top"/>
          </w:tcPr>
          <w:p>
            <w:r>
              <w:rPr>
                <w:b/>
                <w:sz w:val="15"/>
              </w:rPr>
              <w:t>GET /v1/transactions</w:t>
            </w:r>
          </w:p>
        </w:tc>
        <w:tc>
          <w:tcPr>
            <w:tcW w:type="dxa" w:w="7056"/>
            <w:tcMar>
              <w:top w:w="120" w:type="dxa"/>
              <w:start w:w="140" w:type="dxa"/>
              <w:bottom w:w="120" w:type="dxa"/>
              <w:end w:w="140" w:type="dxa"/>
            </w:tcMar>
            <w:vAlign w:val="top"/>
          </w:tcPr>
          <w:p>
            <w:r>
              <w:rPr>
                <w:sz w:val="15"/>
              </w:rPr>
              <w:t>Financial activity / statement view.</w:t>
            </w:r>
          </w:p>
        </w:tc>
      </w:tr>
      <w:tr>
        <w:tc>
          <w:tcPr>
            <w:tcW w:type="dxa" w:w="3888"/>
            <w:tcMar>
              <w:top w:w="120" w:type="dxa"/>
              <w:start w:w="140" w:type="dxa"/>
              <w:bottom w:w="120" w:type="dxa"/>
              <w:end w:w="140" w:type="dxa"/>
            </w:tcMar>
            <w:vAlign w:val="top"/>
          </w:tcPr>
          <w:p>
            <w:r>
              <w:rPr>
                <w:b/>
                <w:sz w:val="15"/>
              </w:rPr>
              <w:t>GET /v1/reports/settlements</w:t>
            </w:r>
          </w:p>
        </w:tc>
        <w:tc>
          <w:tcPr>
            <w:tcW w:type="dxa" w:w="7056"/>
            <w:tcMar>
              <w:top w:w="120" w:type="dxa"/>
              <w:start w:w="140" w:type="dxa"/>
              <w:bottom w:w="120" w:type="dxa"/>
              <w:end w:w="140" w:type="dxa"/>
            </w:tcMar>
            <w:vAlign w:val="top"/>
          </w:tcPr>
          <w:p>
            <w:r>
              <w:rPr>
                <w:sz w:val="15"/>
              </w:rPr>
              <w:t>Settlement report/export.</w:t>
            </w:r>
          </w:p>
        </w:tc>
      </w:tr>
      <w:tr>
        <w:tc>
          <w:tcPr>
            <w:tcW w:type="dxa" w:w="3888"/>
            <w:tcMar>
              <w:top w:w="120" w:type="dxa"/>
              <w:start w:w="140" w:type="dxa"/>
              <w:bottom w:w="120" w:type="dxa"/>
              <w:end w:w="140" w:type="dxa"/>
            </w:tcMar>
            <w:vAlign w:val="top"/>
          </w:tcPr>
          <w:p>
            <w:r>
              <w:rPr>
                <w:b/>
                <w:sz w:val="15"/>
              </w:rPr>
              <w:t>POST /v1/webhook-endpoints</w:t>
            </w:r>
          </w:p>
        </w:tc>
        <w:tc>
          <w:tcPr>
            <w:tcW w:type="dxa" w:w="7056"/>
            <w:tcMar>
              <w:top w:w="120" w:type="dxa"/>
              <w:start w:w="140" w:type="dxa"/>
              <w:bottom w:w="120" w:type="dxa"/>
              <w:end w:w="140" w:type="dxa"/>
            </w:tcMar>
            <w:vAlign w:val="top"/>
          </w:tcPr>
          <w:p>
            <w:r>
              <w:rPr>
                <w:sz w:val="15"/>
              </w:rPr>
              <w:t>Manage customer webhook destinations.</w:t>
            </w:r>
          </w:p>
        </w:tc>
      </w:tr>
      <w:tr>
        <w:tc>
          <w:tcPr>
            <w:tcW w:type="dxa" w:w="3888"/>
            <w:tcMar>
              <w:top w:w="120" w:type="dxa"/>
              <w:start w:w="140" w:type="dxa"/>
              <w:bottom w:w="120" w:type="dxa"/>
              <w:end w:w="140" w:type="dxa"/>
            </w:tcMar>
            <w:vAlign w:val="top"/>
          </w:tcPr>
          <w:p>
            <w:r>
              <w:rPr>
                <w:b/>
                <w:sz w:val="15"/>
              </w:rPr>
              <w:t>GET /v1/providers/status</w:t>
            </w:r>
          </w:p>
        </w:tc>
        <w:tc>
          <w:tcPr>
            <w:tcW w:type="dxa" w:w="7056"/>
            <w:tcMar>
              <w:top w:w="120" w:type="dxa"/>
              <w:start w:w="140" w:type="dxa"/>
              <w:bottom w:w="120" w:type="dxa"/>
              <w:end w:w="140" w:type="dxa"/>
            </w:tcMar>
            <w:vAlign w:val="top"/>
          </w:tcPr>
          <w:p>
            <w:r>
              <w:rPr>
                <w:sz w:val="15"/>
              </w:rPr>
              <w:t>Optional capability/maintenance status for entitled clients.</w:t>
            </w:r>
          </w:p>
        </w:tc>
      </w:tr>
    </w:tbl>
    <w:p>
      <w:pPr>
        <w:pStyle w:val="Heading2"/>
      </w:pPr>
      <w:r>
        <w:t>Quote response must expose</w:t>
      </w:r>
    </w:p>
    <w:p>
      <w:r>
        <w:t>quote_id, sell_currency, sell_amount, buy_currency, buy_amount, rate, fees, total_cost, settlement_method/class, estimated settlement time, expires_at, funding requirement, and acceptance constraints. Do not expose sensitive internal provider selection unless the commercial model allows it.</w:t>
      </w:r>
    </w:p>
    <w:p>
      <w:pPr>
        <w:pStyle w:val="Heading2"/>
      </w:pPr>
      <w:r>
        <w:t>Webhook events</w:t>
      </w:r>
    </w:p>
    <w:p>
      <w:r>
        <w:t>quote.expired, trade.accepted, trade.funding_required, trade.funded, trade.fx_executed, trade.settlement_processing, trade.settled, trade.failed, trade.reversed, reconciliation.break_created where customer-relevant. Deliver at-least-once with exponential backoff, stable event IDs, HMAC/signature verification and replay from portal/API.</w:t>
      </w:r>
    </w:p>
    <w:p>
      <w:r>
        <w:br w:type="page"/>
      </w:r>
    </w:p>
    <w:p>
      <w:pPr>
        <w:pStyle w:val="OsaiMono"/>
      </w:pPr>
      <w:r>
        <w:t>08 / TRUST BOUNDARY</w:t>
      </w:r>
    </w:p>
    <w:p>
      <w:pPr>
        <w:pStyle w:val="Heading1"/>
      </w:pPr>
      <w:r>
        <w:t>8. Security, compliance and permissions</w:t>
      </w:r>
    </w:p>
    <w:p>
      <w:r>
        <w:t>This system will eventually move institutional money. Security architecture is part of the product, not a post-launch ticket.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448"/>
            <w:shd w:fill="101417"/>
            <w:tcMar>
              <w:top w:w="120" w:type="dxa"/>
              <w:start w:w="140" w:type="dxa"/>
              <w:bottom w:w="120" w:type="dxa"/>
              <w:end w:w="140" w:type="dxa"/>
            </w:tcMar>
          </w:tcPr>
          <w:p>
            <w:r>
              <w:rPr>
                <w:b/>
                <w:color w:val="F3F1EA"/>
                <w:sz w:val="15"/>
              </w:rPr>
              <w:t>CONTROL</w:t>
            </w:r>
          </w:p>
        </w:tc>
        <w:tc>
          <w:tcPr>
            <w:tcW w:type="dxa" w:w="8496"/>
            <w:shd w:fill="101417"/>
            <w:tcMar>
              <w:top w:w="120" w:type="dxa"/>
              <w:start w:w="140" w:type="dxa"/>
              <w:bottom w:w="120" w:type="dxa"/>
              <w:end w:w="140" w:type="dxa"/>
            </w:tcMar>
          </w:tcPr>
          <w:p>
            <w:r>
              <w:rPr>
                <w:b/>
                <w:color w:val="F3F1EA"/>
                <w:sz w:val="15"/>
              </w:rPr>
              <w:t>REQUIREMENT</w:t>
            </w:r>
          </w:p>
        </w:tc>
      </w:tr>
      <w:tr>
        <w:tc>
          <w:tcPr>
            <w:tcW w:type="dxa" w:w="2448"/>
            <w:tcMar>
              <w:top w:w="120" w:type="dxa"/>
              <w:start w:w="140" w:type="dxa"/>
              <w:bottom w:w="120" w:type="dxa"/>
              <w:end w:w="140" w:type="dxa"/>
            </w:tcMar>
            <w:vAlign w:val="top"/>
          </w:tcPr>
          <w:p>
            <w:r>
              <w:rPr>
                <w:b/>
                <w:sz w:val="15"/>
              </w:rPr>
              <w:t>Authentication</w:t>
            </w:r>
          </w:p>
        </w:tc>
        <w:tc>
          <w:tcPr>
            <w:tcW w:type="dxa" w:w="8496"/>
            <w:tcMar>
              <w:top w:w="120" w:type="dxa"/>
              <w:start w:w="140" w:type="dxa"/>
              <w:bottom w:w="120" w:type="dxa"/>
              <w:end w:w="140" w:type="dxa"/>
            </w:tcMar>
            <w:vAlign w:val="top"/>
          </w:tcPr>
          <w:p>
            <w:r>
              <w:rPr>
                <w:sz w:val="15"/>
              </w:rPr>
              <w:t>Per-client credentials; secret rotation; mTLS/private connectivity for large institutions where possible; MFA for ops console.</w:t>
            </w:r>
          </w:p>
        </w:tc>
      </w:tr>
      <w:tr>
        <w:tc>
          <w:tcPr>
            <w:tcW w:type="dxa" w:w="2448"/>
            <w:tcMar>
              <w:top w:w="120" w:type="dxa"/>
              <w:start w:w="140" w:type="dxa"/>
              <w:bottom w:w="120" w:type="dxa"/>
              <w:end w:w="140" w:type="dxa"/>
            </w:tcMar>
            <w:vAlign w:val="top"/>
          </w:tcPr>
          <w:p>
            <w:r>
              <w:rPr>
                <w:b/>
                <w:sz w:val="15"/>
              </w:rPr>
              <w:t>Authorization</w:t>
            </w:r>
          </w:p>
        </w:tc>
        <w:tc>
          <w:tcPr>
            <w:tcW w:type="dxa" w:w="8496"/>
            <w:tcMar>
              <w:top w:w="120" w:type="dxa"/>
              <w:start w:w="140" w:type="dxa"/>
              <w:bottom w:w="120" w:type="dxa"/>
              <w:end w:w="140" w:type="dxa"/>
            </w:tcMar>
            <w:vAlign w:val="top"/>
          </w:tcPr>
          <w:p>
            <w:r>
              <w:rPr>
                <w:sz w:val="15"/>
              </w:rPr>
              <w:t>RBAC + scoped permissions. Separate quote, trade, payout, admin, reconciliation and approval privileges.</w:t>
            </w:r>
          </w:p>
        </w:tc>
      </w:tr>
      <w:tr>
        <w:tc>
          <w:tcPr>
            <w:tcW w:type="dxa" w:w="2448"/>
            <w:tcMar>
              <w:top w:w="120" w:type="dxa"/>
              <w:start w:w="140" w:type="dxa"/>
              <w:bottom w:w="120" w:type="dxa"/>
              <w:end w:w="140" w:type="dxa"/>
            </w:tcMar>
            <w:vAlign w:val="top"/>
          </w:tcPr>
          <w:p>
            <w:r>
              <w:rPr>
                <w:b/>
                <w:sz w:val="15"/>
              </w:rPr>
              <w:t>Secrets</w:t>
            </w:r>
          </w:p>
        </w:tc>
        <w:tc>
          <w:tcPr>
            <w:tcW w:type="dxa" w:w="8496"/>
            <w:tcMar>
              <w:top w:w="120" w:type="dxa"/>
              <w:start w:w="140" w:type="dxa"/>
              <w:bottom w:w="120" w:type="dxa"/>
              <w:end w:w="140" w:type="dxa"/>
            </w:tcMar>
            <w:vAlign w:val="top"/>
          </w:tcPr>
          <w:p>
            <w:r>
              <w:rPr>
                <w:sz w:val="15"/>
              </w:rPr>
              <w:t>Cloud KMS/HSM-backed storage; no plaintext secrets in repositories, logs or environment dumps.</w:t>
            </w:r>
          </w:p>
        </w:tc>
      </w:tr>
      <w:tr>
        <w:tc>
          <w:tcPr>
            <w:tcW w:type="dxa" w:w="2448"/>
            <w:tcMar>
              <w:top w:w="120" w:type="dxa"/>
              <w:start w:w="140" w:type="dxa"/>
              <w:bottom w:w="120" w:type="dxa"/>
              <w:end w:w="140" w:type="dxa"/>
            </w:tcMar>
            <w:vAlign w:val="top"/>
          </w:tcPr>
          <w:p>
            <w:r>
              <w:rPr>
                <w:b/>
                <w:sz w:val="15"/>
              </w:rPr>
              <w:t>Data</w:t>
            </w:r>
          </w:p>
        </w:tc>
        <w:tc>
          <w:tcPr>
            <w:tcW w:type="dxa" w:w="8496"/>
            <w:tcMar>
              <w:top w:w="120" w:type="dxa"/>
              <w:start w:w="140" w:type="dxa"/>
              <w:bottom w:w="120" w:type="dxa"/>
              <w:end w:w="140" w:type="dxa"/>
            </w:tcMar>
            <w:vAlign w:val="top"/>
          </w:tcPr>
          <w:p>
            <w:r>
              <w:rPr>
                <w:sz w:val="15"/>
              </w:rPr>
              <w:t>Encryption in transit and at rest; classify PII, financial, credential and audit data separately.</w:t>
            </w:r>
          </w:p>
        </w:tc>
      </w:tr>
      <w:tr>
        <w:tc>
          <w:tcPr>
            <w:tcW w:type="dxa" w:w="2448"/>
            <w:tcMar>
              <w:top w:w="120" w:type="dxa"/>
              <w:start w:w="140" w:type="dxa"/>
              <w:bottom w:w="120" w:type="dxa"/>
              <w:end w:w="140" w:type="dxa"/>
            </w:tcMar>
            <w:vAlign w:val="top"/>
          </w:tcPr>
          <w:p>
            <w:r>
              <w:rPr>
                <w:b/>
                <w:sz w:val="15"/>
              </w:rPr>
              <w:t>Webhooks</w:t>
            </w:r>
          </w:p>
        </w:tc>
        <w:tc>
          <w:tcPr>
            <w:tcW w:type="dxa" w:w="8496"/>
            <w:tcMar>
              <w:top w:w="120" w:type="dxa"/>
              <w:start w:w="140" w:type="dxa"/>
              <w:bottom w:w="120" w:type="dxa"/>
              <w:end w:w="140" w:type="dxa"/>
            </w:tcMar>
            <w:vAlign w:val="top"/>
          </w:tcPr>
          <w:p>
            <w:r>
              <w:rPr>
                <w:sz w:val="15"/>
              </w:rPr>
              <w:t>Signed payloads, timestamp tolerance, replay protection, IP controls where feasible.</w:t>
            </w:r>
          </w:p>
        </w:tc>
      </w:tr>
      <w:tr>
        <w:tc>
          <w:tcPr>
            <w:tcW w:type="dxa" w:w="2448"/>
            <w:tcMar>
              <w:top w:w="120" w:type="dxa"/>
              <w:start w:w="140" w:type="dxa"/>
              <w:bottom w:w="120" w:type="dxa"/>
              <w:end w:w="140" w:type="dxa"/>
            </w:tcMar>
            <w:vAlign w:val="top"/>
          </w:tcPr>
          <w:p>
            <w:r>
              <w:rPr>
                <w:b/>
                <w:sz w:val="15"/>
              </w:rPr>
              <w:t>Operations</w:t>
            </w:r>
          </w:p>
        </w:tc>
        <w:tc>
          <w:tcPr>
            <w:tcW w:type="dxa" w:w="8496"/>
            <w:tcMar>
              <w:top w:w="120" w:type="dxa"/>
              <w:start w:w="140" w:type="dxa"/>
              <w:bottom w:w="120" w:type="dxa"/>
              <w:end w:w="140" w:type="dxa"/>
            </w:tcMar>
            <w:vAlign w:val="top"/>
          </w:tcPr>
          <w:p>
            <w:r>
              <w:rPr>
                <w:sz w:val="15"/>
              </w:rPr>
              <w:t>Maker-checker for high-risk actions, beneficiary changes, manual adjustments and exceptional settlement.</w:t>
            </w:r>
          </w:p>
        </w:tc>
      </w:tr>
      <w:tr>
        <w:tc>
          <w:tcPr>
            <w:tcW w:type="dxa" w:w="2448"/>
            <w:tcMar>
              <w:top w:w="120" w:type="dxa"/>
              <w:start w:w="140" w:type="dxa"/>
              <w:bottom w:w="120" w:type="dxa"/>
              <w:end w:w="140" w:type="dxa"/>
            </w:tcMar>
            <w:vAlign w:val="top"/>
          </w:tcPr>
          <w:p>
            <w:r>
              <w:rPr>
                <w:b/>
                <w:sz w:val="15"/>
              </w:rPr>
              <w:t>Audit</w:t>
            </w:r>
          </w:p>
        </w:tc>
        <w:tc>
          <w:tcPr>
            <w:tcW w:type="dxa" w:w="8496"/>
            <w:tcMar>
              <w:top w:w="120" w:type="dxa"/>
              <w:start w:w="140" w:type="dxa"/>
              <w:bottom w:w="120" w:type="dxa"/>
              <w:end w:w="140" w:type="dxa"/>
            </w:tcMar>
            <w:vAlign w:val="top"/>
          </w:tcPr>
          <w:p>
            <w:r>
              <w:rPr>
                <w:sz w:val="15"/>
              </w:rPr>
              <w:t>Append-only audit trail for user/operator/system actions with before/after metadata and correlation IDs.</w:t>
            </w:r>
          </w:p>
        </w:tc>
      </w:tr>
      <w:tr>
        <w:tc>
          <w:tcPr>
            <w:tcW w:type="dxa" w:w="2448"/>
            <w:tcMar>
              <w:top w:w="120" w:type="dxa"/>
              <w:start w:w="140" w:type="dxa"/>
              <w:bottom w:w="120" w:type="dxa"/>
              <w:end w:w="140" w:type="dxa"/>
            </w:tcMar>
            <w:vAlign w:val="top"/>
          </w:tcPr>
          <w:p>
            <w:r>
              <w:rPr>
                <w:b/>
                <w:sz w:val="15"/>
              </w:rPr>
              <w:t>Compliance hooks</w:t>
            </w:r>
          </w:p>
        </w:tc>
        <w:tc>
          <w:tcPr>
            <w:tcW w:type="dxa" w:w="8496"/>
            <w:tcMar>
              <w:top w:w="120" w:type="dxa"/>
              <w:start w:w="140" w:type="dxa"/>
              <w:bottom w:w="120" w:type="dxa"/>
              <w:end w:w="140" w:type="dxa"/>
            </w:tcMar>
            <w:vAlign w:val="top"/>
          </w:tcPr>
          <w:p>
            <w:r>
              <w:rPr>
                <w:sz w:val="15"/>
              </w:rPr>
              <w:t>KYB/KYC status, sanctions screening results, transaction-monitoring decisions, case IDs, restricted corridors.</w:t>
            </w:r>
          </w:p>
        </w:tc>
      </w:tr>
      <w:tr>
        <w:tc>
          <w:tcPr>
            <w:tcW w:type="dxa" w:w="2448"/>
            <w:tcMar>
              <w:top w:w="120" w:type="dxa"/>
              <w:start w:w="140" w:type="dxa"/>
              <w:bottom w:w="120" w:type="dxa"/>
              <w:end w:w="140" w:type="dxa"/>
            </w:tcMar>
            <w:vAlign w:val="top"/>
          </w:tcPr>
          <w:p>
            <w:r>
              <w:rPr>
                <w:b/>
                <w:sz w:val="15"/>
              </w:rPr>
              <w:t>Network</w:t>
            </w:r>
          </w:p>
        </w:tc>
        <w:tc>
          <w:tcPr>
            <w:tcW w:type="dxa" w:w="8496"/>
            <w:tcMar>
              <w:top w:w="120" w:type="dxa"/>
              <w:start w:w="140" w:type="dxa"/>
              <w:bottom w:w="120" w:type="dxa"/>
              <w:end w:w="140" w:type="dxa"/>
            </w:tcMar>
            <w:vAlign w:val="top"/>
          </w:tcPr>
          <w:p>
            <w:r>
              <w:rPr>
                <w:sz w:val="15"/>
              </w:rPr>
              <w:t>Least privilege, segmented production, restricted database access, bastion/JIT administrative access.</w:t>
            </w:r>
          </w:p>
        </w:tc>
      </w:tr>
      <w:tr>
        <w:tc>
          <w:tcPr>
            <w:tcW w:type="dxa" w:w="2448"/>
            <w:tcMar>
              <w:top w:w="120" w:type="dxa"/>
              <w:start w:w="140" w:type="dxa"/>
              <w:bottom w:w="120" w:type="dxa"/>
              <w:end w:w="140" w:type="dxa"/>
            </w:tcMar>
            <w:vAlign w:val="top"/>
          </w:tcPr>
          <w:p>
            <w:r>
              <w:rPr>
                <w:b/>
                <w:sz w:val="15"/>
              </w:rPr>
              <w:t>SDLC</w:t>
            </w:r>
          </w:p>
        </w:tc>
        <w:tc>
          <w:tcPr>
            <w:tcW w:type="dxa" w:w="8496"/>
            <w:tcMar>
              <w:top w:w="120" w:type="dxa"/>
              <w:start w:w="140" w:type="dxa"/>
              <w:bottom w:w="120" w:type="dxa"/>
              <w:end w:w="140" w:type="dxa"/>
            </w:tcMar>
            <w:vAlign w:val="top"/>
          </w:tcPr>
          <w:p>
            <w:r>
              <w:rPr>
                <w:sz w:val="15"/>
              </w:rPr>
              <w:t>Code review, dependency scanning, SAST/DAST, secret scanning, protected branches, signed releases where feasible.</w:t>
            </w:r>
          </w:p>
        </w:tc>
      </w:tr>
    </w:tbl>
    <w:p>
      <w:pPr>
        <w:pStyle w:val="Heading2"/>
      </w:pPr>
      <w:r>
        <w:t>No silent manual edits</w:t>
      </w:r>
    </w:p>
    <w:p>
      <w:r>
        <w:t>Operators must never directly update trade/ledger tables to “fix” money. All operational interventions must be explicit commands that create audited events and, where financial, proper journal entries. Production database write access should be exceptional and tightly controlled.</w:t>
      </w:r>
    </w:p>
    <w:p>
      <w:r>
        <w:br w:type="page"/>
      </w:r>
    </w:p>
    <w:p>
      <w:pPr>
        <w:pStyle w:val="OsaiMono"/>
      </w:pPr>
      <w:r>
        <w:t>09 / PROVE THE MONEY</w:t>
      </w:r>
    </w:p>
    <w:p>
      <w:pPr>
        <w:pStyle w:val="Heading1"/>
      </w:pPr>
      <w:r>
        <w:t>9. Reconciliation and finance operations</w:t>
      </w:r>
    </w:p>
    <w:p>
      <w:r>
        <w:t>Reconciliation is not reporting polish. It is how Osai proves that its internal financial truth matches the outside world.</w:t>
      </w:r>
    </w:p>
    <w:p>
      <w:pPr>
        <w:pStyle w:val="Heading2"/>
      </w:pPr>
      <w:r>
        <w:t>Three reconciliation layers</w:t>
      </w:r>
    </w:p>
    <w:p>
      <w:pPr>
        <w:pStyle w:val="ListBullet"/>
        <w:spacing w:after="40"/>
      </w:pPr>
      <w:r>
        <w:t>Transaction reconciliation: each external transfer/FX execution maps to one expected internal object and amount.</w:t>
      </w:r>
    </w:p>
    <w:p>
      <w:pPr>
        <w:pStyle w:val="ListBullet"/>
        <w:spacing w:after="40"/>
      </w:pPr>
      <w:r>
        <w:t>Balance reconciliation: Osai-calculated provider/bank position matches provider/bank reported closing balance, adjusted for known in-flight items.</w:t>
      </w:r>
    </w:p>
    <w:p>
      <w:pPr>
        <w:pStyle w:val="ListBullet"/>
        <w:spacing w:after="40"/>
      </w:pPr>
      <w:r>
        <w:t>Fee/rate reconciliation: provider fees and executed economics match quote/contract expectations.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101417"/>
            <w:tcMar>
              <w:top w:w="120" w:type="dxa"/>
              <w:start w:w="140" w:type="dxa"/>
              <w:bottom w:w="120" w:type="dxa"/>
              <w:end w:w="140" w:type="dxa"/>
            </w:tcMar>
          </w:tcPr>
          <w:p>
            <w:r>
              <w:rPr>
                <w:b/>
                <w:color w:val="F3F1EA"/>
                <w:sz w:val="15"/>
              </w:rPr>
              <w:t>CASE</w:t>
            </w:r>
          </w:p>
        </w:tc>
        <w:tc>
          <w:tcPr>
            <w:tcW w:type="dxa" w:w="7920"/>
            <w:shd w:fill="101417"/>
            <w:tcMar>
              <w:top w:w="120" w:type="dxa"/>
              <w:start w:w="140" w:type="dxa"/>
              <w:bottom w:w="120" w:type="dxa"/>
              <w:end w:w="140" w:type="dxa"/>
            </w:tcMar>
          </w:tcPr>
          <w:p>
            <w:r>
              <w:rPr>
                <w:b/>
                <w:color w:val="F3F1EA"/>
                <w:sz w:val="15"/>
              </w:rPr>
              <w:t>SYSTEM BEHAVIOUR</w:t>
            </w:r>
          </w:p>
        </w:tc>
      </w:tr>
      <w:tr>
        <w:tc>
          <w:tcPr>
            <w:tcW w:type="dxa" w:w="3024"/>
            <w:tcMar>
              <w:top w:w="120" w:type="dxa"/>
              <w:start w:w="140" w:type="dxa"/>
              <w:bottom w:w="120" w:type="dxa"/>
              <w:end w:w="140" w:type="dxa"/>
            </w:tcMar>
            <w:vAlign w:val="top"/>
          </w:tcPr>
          <w:p>
            <w:r>
              <w:rPr>
                <w:b/>
                <w:sz w:val="15"/>
              </w:rPr>
              <w:t>Exact reference match</w:t>
            </w:r>
          </w:p>
        </w:tc>
        <w:tc>
          <w:tcPr>
            <w:tcW w:type="dxa" w:w="7920"/>
            <w:tcMar>
              <w:top w:w="120" w:type="dxa"/>
              <w:start w:w="140" w:type="dxa"/>
              <w:bottom w:w="120" w:type="dxa"/>
              <w:end w:w="140" w:type="dxa"/>
            </w:tcMar>
            <w:vAlign w:val="top"/>
          </w:tcPr>
          <w:p>
            <w:r>
              <w:rPr>
                <w:sz w:val="15"/>
              </w:rPr>
              <w:t>Strongest. Match provider reference/client reference + amount + currency.</w:t>
            </w:r>
          </w:p>
        </w:tc>
      </w:tr>
      <w:tr>
        <w:tc>
          <w:tcPr>
            <w:tcW w:type="dxa" w:w="3024"/>
            <w:tcMar>
              <w:top w:w="120" w:type="dxa"/>
              <w:start w:w="140" w:type="dxa"/>
              <w:bottom w:w="120" w:type="dxa"/>
              <w:end w:w="140" w:type="dxa"/>
            </w:tcMar>
            <w:vAlign w:val="top"/>
          </w:tcPr>
          <w:p>
            <w:r>
              <w:rPr>
                <w:b/>
                <w:sz w:val="15"/>
              </w:rPr>
              <w:t>Composite match</w:t>
            </w:r>
          </w:p>
        </w:tc>
        <w:tc>
          <w:tcPr>
            <w:tcW w:type="dxa" w:w="7920"/>
            <w:tcMar>
              <w:top w:w="120" w:type="dxa"/>
              <w:start w:w="140" w:type="dxa"/>
              <w:bottom w:w="120" w:type="dxa"/>
              <w:end w:w="140" w:type="dxa"/>
            </w:tcMar>
            <w:vAlign w:val="top"/>
          </w:tcPr>
          <w:p>
            <w:r>
              <w:rPr>
                <w:sz w:val="15"/>
              </w:rPr>
              <w:t>Date window + amount + currency + beneficiary/account where provider references are weak.</w:t>
            </w:r>
          </w:p>
        </w:tc>
      </w:tr>
      <w:tr>
        <w:tc>
          <w:tcPr>
            <w:tcW w:type="dxa" w:w="3024"/>
            <w:tcMar>
              <w:top w:w="120" w:type="dxa"/>
              <w:start w:w="140" w:type="dxa"/>
              <w:bottom w:w="120" w:type="dxa"/>
              <w:end w:w="140" w:type="dxa"/>
            </w:tcMar>
            <w:vAlign w:val="top"/>
          </w:tcPr>
          <w:p>
            <w:r>
              <w:rPr>
                <w:b/>
                <w:sz w:val="15"/>
              </w:rPr>
              <w:t>Unmatched external</w:t>
            </w:r>
          </w:p>
        </w:tc>
        <w:tc>
          <w:tcPr>
            <w:tcW w:type="dxa" w:w="7920"/>
            <w:tcMar>
              <w:top w:w="120" w:type="dxa"/>
              <w:start w:w="140" w:type="dxa"/>
              <w:bottom w:w="120" w:type="dxa"/>
              <w:end w:w="140" w:type="dxa"/>
            </w:tcMar>
            <w:vAlign w:val="top"/>
          </w:tcPr>
          <w:p>
            <w:r>
              <w:rPr>
                <w:sz w:val="15"/>
              </w:rPr>
              <w:t>Create break. Never auto-book unexplained money.</w:t>
            </w:r>
          </w:p>
        </w:tc>
      </w:tr>
      <w:tr>
        <w:tc>
          <w:tcPr>
            <w:tcW w:type="dxa" w:w="3024"/>
            <w:tcMar>
              <w:top w:w="120" w:type="dxa"/>
              <w:start w:w="140" w:type="dxa"/>
              <w:bottom w:w="120" w:type="dxa"/>
              <w:end w:w="140" w:type="dxa"/>
            </w:tcMar>
            <w:vAlign w:val="top"/>
          </w:tcPr>
          <w:p>
            <w:r>
              <w:rPr>
                <w:b/>
                <w:sz w:val="15"/>
              </w:rPr>
              <w:t>Missing external evidence</w:t>
            </w:r>
          </w:p>
        </w:tc>
        <w:tc>
          <w:tcPr>
            <w:tcW w:type="dxa" w:w="7920"/>
            <w:tcMar>
              <w:top w:w="120" w:type="dxa"/>
              <w:start w:w="140" w:type="dxa"/>
              <w:bottom w:w="120" w:type="dxa"/>
              <w:end w:w="140" w:type="dxa"/>
            </w:tcMar>
            <w:vAlign w:val="top"/>
          </w:tcPr>
          <w:p>
            <w:r>
              <w:rPr>
                <w:sz w:val="15"/>
              </w:rPr>
              <w:t>Keep transaction unresolved/unknown; retry evidence ingestion.</w:t>
            </w:r>
          </w:p>
        </w:tc>
      </w:tr>
      <w:tr>
        <w:tc>
          <w:tcPr>
            <w:tcW w:type="dxa" w:w="3024"/>
            <w:tcMar>
              <w:top w:w="120" w:type="dxa"/>
              <w:start w:w="140" w:type="dxa"/>
              <w:bottom w:w="120" w:type="dxa"/>
              <w:end w:w="140" w:type="dxa"/>
            </w:tcMar>
            <w:vAlign w:val="top"/>
          </w:tcPr>
          <w:p>
            <w:r>
              <w:rPr>
                <w:b/>
                <w:sz w:val="15"/>
              </w:rPr>
              <w:t>Amount mismatch</w:t>
            </w:r>
          </w:p>
        </w:tc>
        <w:tc>
          <w:tcPr>
            <w:tcW w:type="dxa" w:w="7920"/>
            <w:tcMar>
              <w:top w:w="120" w:type="dxa"/>
              <w:start w:w="140" w:type="dxa"/>
              <w:bottom w:w="120" w:type="dxa"/>
              <w:end w:w="140" w:type="dxa"/>
            </w:tcMar>
            <w:vAlign w:val="top"/>
          </w:tcPr>
          <w:p>
            <w:r>
              <w:rPr>
                <w:sz w:val="15"/>
              </w:rPr>
              <w:t>Break with expected vs actual delta and ownership queue.</w:t>
            </w:r>
          </w:p>
        </w:tc>
      </w:tr>
      <w:tr>
        <w:tc>
          <w:tcPr>
            <w:tcW w:type="dxa" w:w="3024"/>
            <w:tcMar>
              <w:top w:w="120" w:type="dxa"/>
              <w:start w:w="140" w:type="dxa"/>
              <w:bottom w:w="120" w:type="dxa"/>
              <w:end w:w="140" w:type="dxa"/>
            </w:tcMar>
            <w:vAlign w:val="top"/>
          </w:tcPr>
          <w:p>
            <w:r>
              <w:rPr>
                <w:b/>
                <w:sz w:val="15"/>
              </w:rPr>
              <w:t>Approved adjustment</w:t>
            </w:r>
          </w:p>
        </w:tc>
        <w:tc>
          <w:tcPr>
            <w:tcW w:type="dxa" w:w="7920"/>
            <w:tcMar>
              <w:top w:w="120" w:type="dxa"/>
              <w:start w:w="140" w:type="dxa"/>
              <w:bottom w:w="120" w:type="dxa"/>
              <w:end w:w="140" w:type="dxa"/>
            </w:tcMar>
            <w:vAlign w:val="top"/>
          </w:tcPr>
          <w:p>
            <w:r>
              <w:rPr>
                <w:sz w:val="15"/>
              </w:rPr>
              <w:t>Maker-checker workflow creates explicit adjustment journal, never history mutation.</w:t>
            </w:r>
          </w:p>
        </w:tc>
      </w:tr>
    </w:tbl>
    <w:p>
      <w:pPr>
        <w:pStyle w:val="Heading2"/>
      </w:pPr>
      <w:r>
        <w:t>Ops console minimum</w:t>
      </w:r>
    </w:p>
    <w:p>
      <w:pPr>
        <w:pStyle w:val="ListBullet"/>
        <w:spacing w:after="40"/>
      </w:pPr>
      <w:r>
        <w:t>Live trade timeline with provider calls/events and ledger journals.</w:t>
      </w:r>
    </w:p>
    <w:p>
      <w:pPr>
        <w:pStyle w:val="ListBullet"/>
        <w:spacing w:after="40"/>
      </w:pPr>
      <w:r>
        <w:t>Trades in UNKNOWN / MANUAL_REVIEW.</w:t>
      </w:r>
    </w:p>
    <w:p>
      <w:pPr>
        <w:pStyle w:val="ListBullet"/>
        <w:spacing w:after="40"/>
      </w:pPr>
      <w:r>
        <w:t>Provider health and degraded routes.</w:t>
      </w:r>
    </w:p>
    <w:p>
      <w:pPr>
        <w:pStyle w:val="ListBullet"/>
        <w:spacing w:after="40"/>
      </w:pPr>
      <w:r>
        <w:t>Reconciliation breaks with age, value, owner and comments.</w:t>
      </w:r>
    </w:p>
    <w:p>
      <w:pPr>
        <w:pStyle w:val="ListBullet"/>
        <w:spacing w:after="40"/>
      </w:pPr>
      <w:r>
        <w:t>Customer/account holds and limit utilization.</w:t>
      </w:r>
    </w:p>
    <w:p>
      <w:pPr>
        <w:pStyle w:val="ListBullet"/>
        <w:spacing w:after="40"/>
      </w:pPr>
      <w:r>
        <w:t>Approval queue for sensitive actions.</w:t>
      </w:r>
    </w:p>
    <w:p>
      <w:pPr>
        <w:pStyle w:val="ListBullet"/>
        <w:spacing w:after="40"/>
      </w:pPr>
      <w:r>
        <w:t>Search by trade ID, customer reference, external reference, amount and beneficiary.</w:t>
      </w:r>
    </w:p>
    <w:p>
      <w:r>
        <w:br w:type="page"/>
      </w:r>
    </w:p>
    <w:p>
      <w:pPr>
        <w:pStyle w:val="OsaiMono"/>
      </w:pPr>
      <w:r>
        <w:t>10 / DOMAIN MODEL</w:t>
      </w:r>
    </w:p>
    <w:p>
      <w:pPr>
        <w:pStyle w:val="Heading1"/>
      </w:pPr>
      <w:r>
        <w:t>10. Data model: minimum entities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312"/>
            <w:shd w:fill="101417"/>
            <w:tcMar>
              <w:top w:w="120" w:type="dxa"/>
              <w:start w:w="140" w:type="dxa"/>
              <w:bottom w:w="120" w:type="dxa"/>
              <w:end w:w="140" w:type="dxa"/>
            </w:tcMar>
          </w:tcPr>
          <w:p>
            <w:r>
              <w:rPr>
                <w:b/>
                <w:color w:val="F3F1EA"/>
                <w:sz w:val="15"/>
              </w:rPr>
              <w:t>ENTITY</w:t>
            </w:r>
          </w:p>
        </w:tc>
        <w:tc>
          <w:tcPr>
            <w:tcW w:type="dxa" w:w="7632"/>
            <w:shd w:fill="101417"/>
            <w:tcMar>
              <w:top w:w="120" w:type="dxa"/>
              <w:start w:w="140" w:type="dxa"/>
              <w:bottom w:w="120" w:type="dxa"/>
              <w:end w:w="140" w:type="dxa"/>
            </w:tcMar>
          </w:tcPr>
          <w:p>
            <w:r>
              <w:rPr>
                <w:b/>
                <w:color w:val="F3F1EA"/>
                <w:sz w:val="15"/>
              </w:rPr>
              <w:t>ROLE</w:t>
            </w:r>
          </w:p>
        </w:tc>
      </w:tr>
      <w:tr>
        <w:tc>
          <w:tcPr>
            <w:tcW w:type="dxa" w:w="3312"/>
            <w:tcMar>
              <w:top w:w="120" w:type="dxa"/>
              <w:start w:w="140" w:type="dxa"/>
              <w:bottom w:w="120" w:type="dxa"/>
              <w:end w:w="140" w:type="dxa"/>
            </w:tcMar>
            <w:vAlign w:val="top"/>
          </w:tcPr>
          <w:p>
            <w:r>
              <w:rPr>
                <w:b/>
                <w:sz w:val="15"/>
              </w:rPr>
              <w:t>Institution</w:t>
            </w:r>
          </w:p>
        </w:tc>
        <w:tc>
          <w:tcPr>
            <w:tcW w:type="dxa" w:w="7632"/>
            <w:tcMar>
              <w:top w:w="120" w:type="dxa"/>
              <w:start w:w="140" w:type="dxa"/>
              <w:bottom w:w="120" w:type="dxa"/>
              <w:end w:w="140" w:type="dxa"/>
            </w:tcMar>
            <w:vAlign w:val="top"/>
          </w:tcPr>
          <w:p>
            <w:r>
              <w:rPr>
                <w:sz w:val="15"/>
              </w:rPr>
              <w:t>Legal customer, KYB/compliance state, tier, limits, credentials.</w:t>
            </w:r>
          </w:p>
        </w:tc>
      </w:tr>
      <w:tr>
        <w:tc>
          <w:tcPr>
            <w:tcW w:type="dxa" w:w="3312"/>
            <w:tcMar>
              <w:top w:w="120" w:type="dxa"/>
              <w:start w:w="140" w:type="dxa"/>
              <w:bottom w:w="120" w:type="dxa"/>
              <w:end w:w="140" w:type="dxa"/>
            </w:tcMar>
            <w:vAlign w:val="top"/>
          </w:tcPr>
          <w:p>
            <w:r>
              <w:rPr>
                <w:b/>
                <w:sz w:val="15"/>
              </w:rPr>
              <w:t>InstitutionAccount</w:t>
            </w:r>
          </w:p>
        </w:tc>
        <w:tc>
          <w:tcPr>
            <w:tcW w:type="dxa" w:w="7632"/>
            <w:tcMar>
              <w:top w:w="120" w:type="dxa"/>
              <w:start w:w="140" w:type="dxa"/>
              <w:bottom w:w="120" w:type="dxa"/>
              <w:end w:w="140" w:type="dxa"/>
            </w:tcMar>
            <w:vAlign w:val="top"/>
          </w:tcPr>
          <w:p>
            <w:r>
              <w:rPr>
                <w:sz w:val="15"/>
              </w:rPr>
              <w:t>Currency-specific settlement/ledger relationship.</w:t>
            </w:r>
          </w:p>
        </w:tc>
      </w:tr>
      <w:tr>
        <w:tc>
          <w:tcPr>
            <w:tcW w:type="dxa" w:w="3312"/>
            <w:tcMar>
              <w:top w:w="120" w:type="dxa"/>
              <w:start w:w="140" w:type="dxa"/>
              <w:bottom w:w="120" w:type="dxa"/>
              <w:end w:w="140" w:type="dxa"/>
            </w:tcMar>
            <w:vAlign w:val="top"/>
          </w:tcPr>
          <w:p>
            <w:r>
              <w:rPr>
                <w:b/>
                <w:sz w:val="15"/>
              </w:rPr>
              <w:t>Beneficiary</w:t>
            </w:r>
          </w:p>
        </w:tc>
        <w:tc>
          <w:tcPr>
            <w:tcW w:type="dxa" w:w="7632"/>
            <w:tcMar>
              <w:top w:w="120" w:type="dxa"/>
              <w:start w:w="140" w:type="dxa"/>
              <w:bottom w:w="120" w:type="dxa"/>
              <w:end w:w="140" w:type="dxa"/>
            </w:tcMar>
            <w:vAlign w:val="top"/>
          </w:tcPr>
          <w:p>
            <w:r>
              <w:rPr>
                <w:sz w:val="15"/>
              </w:rPr>
              <w:t>Approved payout destination and validation state.</w:t>
            </w:r>
          </w:p>
        </w:tc>
      </w:tr>
      <w:tr>
        <w:tc>
          <w:tcPr>
            <w:tcW w:type="dxa" w:w="3312"/>
            <w:tcMar>
              <w:top w:w="120" w:type="dxa"/>
              <w:start w:w="140" w:type="dxa"/>
              <w:bottom w:w="120" w:type="dxa"/>
              <w:end w:w="140" w:type="dxa"/>
            </w:tcMar>
            <w:vAlign w:val="top"/>
          </w:tcPr>
          <w:p>
            <w:r>
              <w:rPr>
                <w:b/>
                <w:sz w:val="15"/>
              </w:rPr>
              <w:t>QuoteRequest</w:t>
            </w:r>
          </w:p>
        </w:tc>
        <w:tc>
          <w:tcPr>
            <w:tcW w:type="dxa" w:w="7632"/>
            <w:tcMar>
              <w:top w:w="120" w:type="dxa"/>
              <w:start w:w="140" w:type="dxa"/>
              <w:bottom w:w="120" w:type="dxa"/>
              <w:end w:w="140" w:type="dxa"/>
            </w:tcMar>
            <w:vAlign w:val="top"/>
          </w:tcPr>
          <w:p>
            <w:r>
              <w:rPr>
                <w:sz w:val="15"/>
              </w:rPr>
              <w:t>Raw customer economic intent.</w:t>
            </w:r>
          </w:p>
        </w:tc>
      </w:tr>
      <w:tr>
        <w:tc>
          <w:tcPr>
            <w:tcW w:type="dxa" w:w="3312"/>
            <w:tcMar>
              <w:top w:w="120" w:type="dxa"/>
              <w:start w:w="140" w:type="dxa"/>
              <w:bottom w:w="120" w:type="dxa"/>
              <w:end w:w="140" w:type="dxa"/>
            </w:tcMar>
            <w:vAlign w:val="top"/>
          </w:tcPr>
          <w:p>
            <w:r>
              <w:rPr>
                <w:b/>
                <w:sz w:val="15"/>
              </w:rPr>
              <w:t>ProviderQuote</w:t>
            </w:r>
          </w:p>
        </w:tc>
        <w:tc>
          <w:tcPr>
            <w:tcW w:type="dxa" w:w="7632"/>
            <w:tcMar>
              <w:top w:w="120" w:type="dxa"/>
              <w:start w:w="140" w:type="dxa"/>
              <w:bottom w:w="120" w:type="dxa"/>
              <w:end w:w="140" w:type="dxa"/>
            </w:tcMar>
            <w:vAlign w:val="top"/>
          </w:tcPr>
          <w:p>
            <w:r>
              <w:rPr>
                <w:sz w:val="15"/>
              </w:rPr>
              <w:t>Normalized provider candidate with expiry and economics.</w:t>
            </w:r>
          </w:p>
        </w:tc>
      </w:tr>
      <w:tr>
        <w:tc>
          <w:tcPr>
            <w:tcW w:type="dxa" w:w="3312"/>
            <w:tcMar>
              <w:top w:w="120" w:type="dxa"/>
              <w:start w:w="140" w:type="dxa"/>
              <w:bottom w:w="120" w:type="dxa"/>
              <w:end w:w="140" w:type="dxa"/>
            </w:tcMar>
            <w:vAlign w:val="top"/>
          </w:tcPr>
          <w:p>
            <w:r>
              <w:rPr>
                <w:b/>
                <w:sz w:val="15"/>
              </w:rPr>
              <w:t>ExecutableQuote</w:t>
            </w:r>
          </w:p>
        </w:tc>
        <w:tc>
          <w:tcPr>
            <w:tcW w:type="dxa" w:w="7632"/>
            <w:tcMar>
              <w:top w:w="120" w:type="dxa"/>
              <w:start w:w="140" w:type="dxa"/>
              <w:bottom w:w="120" w:type="dxa"/>
              <w:end w:w="140" w:type="dxa"/>
            </w:tcMar>
            <w:vAlign w:val="top"/>
          </w:tcPr>
          <w:p>
            <w:r>
              <w:rPr>
                <w:sz w:val="15"/>
              </w:rPr>
              <w:t>Osai quote shown to customer; locks pricing formula/fees.</w:t>
            </w:r>
          </w:p>
        </w:tc>
      </w:tr>
      <w:tr>
        <w:tc>
          <w:tcPr>
            <w:tcW w:type="dxa" w:w="3312"/>
            <w:tcMar>
              <w:top w:w="120" w:type="dxa"/>
              <w:start w:w="140" w:type="dxa"/>
              <w:bottom w:w="120" w:type="dxa"/>
              <w:end w:w="140" w:type="dxa"/>
            </w:tcMar>
            <w:vAlign w:val="top"/>
          </w:tcPr>
          <w:p>
            <w:r>
              <w:rPr>
                <w:b/>
                <w:sz w:val="15"/>
              </w:rPr>
              <w:t>Trade</w:t>
            </w:r>
          </w:p>
        </w:tc>
        <w:tc>
          <w:tcPr>
            <w:tcW w:type="dxa" w:w="7632"/>
            <w:tcMar>
              <w:top w:w="120" w:type="dxa"/>
              <w:start w:w="140" w:type="dxa"/>
              <w:bottom w:w="120" w:type="dxa"/>
              <w:end w:w="140" w:type="dxa"/>
            </w:tcMar>
            <w:vAlign w:val="top"/>
          </w:tcPr>
          <w:p>
            <w:r>
              <w:rPr>
                <w:sz w:val="15"/>
              </w:rPr>
              <w:t>Accepted customer instruction and canonical lifecycle.</w:t>
            </w:r>
          </w:p>
        </w:tc>
      </w:tr>
      <w:tr>
        <w:tc>
          <w:tcPr>
            <w:tcW w:type="dxa" w:w="3312"/>
            <w:tcMar>
              <w:top w:w="120" w:type="dxa"/>
              <w:start w:w="140" w:type="dxa"/>
              <w:bottom w:w="120" w:type="dxa"/>
              <w:end w:w="140" w:type="dxa"/>
            </w:tcMar>
            <w:vAlign w:val="top"/>
          </w:tcPr>
          <w:p>
            <w:r>
              <w:rPr>
                <w:b/>
                <w:sz w:val="15"/>
              </w:rPr>
              <w:t>TradeLeg</w:t>
            </w:r>
          </w:p>
        </w:tc>
        <w:tc>
          <w:tcPr>
            <w:tcW w:type="dxa" w:w="7632"/>
            <w:tcMar>
              <w:top w:w="120" w:type="dxa"/>
              <w:start w:w="140" w:type="dxa"/>
              <w:bottom w:w="120" w:type="dxa"/>
              <w:end w:w="140" w:type="dxa"/>
            </w:tcMar>
            <w:vAlign w:val="top"/>
          </w:tcPr>
          <w:p>
            <w:r>
              <w:rPr>
                <w:sz w:val="15"/>
              </w:rPr>
              <w:t>FX or settlement leg with direction, currency and amount.</w:t>
            </w:r>
          </w:p>
        </w:tc>
      </w:tr>
      <w:tr>
        <w:tc>
          <w:tcPr>
            <w:tcW w:type="dxa" w:w="3312"/>
            <w:tcMar>
              <w:top w:w="120" w:type="dxa"/>
              <w:start w:w="140" w:type="dxa"/>
              <w:bottom w:w="120" w:type="dxa"/>
              <w:end w:w="140" w:type="dxa"/>
            </w:tcMar>
            <w:vAlign w:val="top"/>
          </w:tcPr>
          <w:p>
            <w:r>
              <w:rPr>
                <w:b/>
                <w:sz w:val="15"/>
              </w:rPr>
              <w:t>SettlementInstruction</w:t>
            </w:r>
          </w:p>
        </w:tc>
        <w:tc>
          <w:tcPr>
            <w:tcW w:type="dxa" w:w="7632"/>
            <w:tcMar>
              <w:top w:w="120" w:type="dxa"/>
              <w:start w:w="140" w:type="dxa"/>
              <w:bottom w:w="120" w:type="dxa"/>
              <w:end w:w="140" w:type="dxa"/>
            </w:tcMar>
            <w:vAlign w:val="top"/>
          </w:tcPr>
          <w:p>
            <w:r>
              <w:rPr>
                <w:sz w:val="15"/>
              </w:rPr>
              <w:t>External payment instruction with provider state/reference.</w:t>
            </w:r>
          </w:p>
        </w:tc>
      </w:tr>
      <w:tr>
        <w:tc>
          <w:tcPr>
            <w:tcW w:type="dxa" w:w="3312"/>
            <w:tcMar>
              <w:top w:w="120" w:type="dxa"/>
              <w:start w:w="140" w:type="dxa"/>
              <w:bottom w:w="120" w:type="dxa"/>
              <w:end w:w="140" w:type="dxa"/>
            </w:tcMar>
            <w:vAlign w:val="top"/>
          </w:tcPr>
          <w:p>
            <w:r>
              <w:rPr>
                <w:b/>
                <w:sz w:val="15"/>
              </w:rPr>
              <w:t>Provider</w:t>
            </w:r>
          </w:p>
        </w:tc>
        <w:tc>
          <w:tcPr>
            <w:tcW w:type="dxa" w:w="7632"/>
            <w:tcMar>
              <w:top w:w="120" w:type="dxa"/>
              <w:start w:w="140" w:type="dxa"/>
              <w:bottom w:w="120" w:type="dxa"/>
              <w:end w:w="140" w:type="dxa"/>
            </w:tcMar>
            <w:vAlign w:val="top"/>
          </w:tcPr>
          <w:p>
            <w:r>
              <w:rPr>
                <w:sz w:val="15"/>
              </w:rPr>
              <w:t>Bank/LP/VASP/PSP capability metadata and config.</w:t>
            </w:r>
          </w:p>
        </w:tc>
      </w:tr>
      <w:tr>
        <w:tc>
          <w:tcPr>
            <w:tcW w:type="dxa" w:w="3312"/>
            <w:tcMar>
              <w:top w:w="120" w:type="dxa"/>
              <w:start w:w="140" w:type="dxa"/>
              <w:bottom w:w="120" w:type="dxa"/>
              <w:end w:w="140" w:type="dxa"/>
            </w:tcMar>
            <w:vAlign w:val="top"/>
          </w:tcPr>
          <w:p>
            <w:r>
              <w:rPr>
                <w:b/>
                <w:sz w:val="15"/>
              </w:rPr>
              <w:t>ProviderAccount</w:t>
            </w:r>
          </w:p>
        </w:tc>
        <w:tc>
          <w:tcPr>
            <w:tcW w:type="dxa" w:w="7632"/>
            <w:tcMar>
              <w:top w:w="120" w:type="dxa"/>
              <w:start w:w="140" w:type="dxa"/>
              <w:bottom w:w="120" w:type="dxa"/>
              <w:end w:w="140" w:type="dxa"/>
            </w:tcMar>
            <w:vAlign w:val="top"/>
          </w:tcPr>
          <w:p>
            <w:r>
              <w:rPr>
                <w:sz w:val="15"/>
              </w:rPr>
              <w:t>External account/wallet used for funding/settlement.</w:t>
            </w:r>
          </w:p>
        </w:tc>
      </w:tr>
      <w:tr>
        <w:tc>
          <w:tcPr>
            <w:tcW w:type="dxa" w:w="3312"/>
            <w:tcMar>
              <w:top w:w="120" w:type="dxa"/>
              <w:start w:w="140" w:type="dxa"/>
              <w:bottom w:w="120" w:type="dxa"/>
              <w:end w:w="140" w:type="dxa"/>
            </w:tcMar>
            <w:vAlign w:val="top"/>
          </w:tcPr>
          <w:p>
            <w:r>
              <w:rPr>
                <w:b/>
                <w:sz w:val="15"/>
              </w:rPr>
              <w:t>JournalTransaction / Entry</w:t>
            </w:r>
          </w:p>
        </w:tc>
        <w:tc>
          <w:tcPr>
            <w:tcW w:type="dxa" w:w="7632"/>
            <w:tcMar>
              <w:top w:w="120" w:type="dxa"/>
              <w:start w:w="140" w:type="dxa"/>
              <w:bottom w:w="120" w:type="dxa"/>
              <w:end w:w="140" w:type="dxa"/>
            </w:tcMar>
            <w:vAlign w:val="top"/>
          </w:tcPr>
          <w:p>
            <w:r>
              <w:rPr>
                <w:sz w:val="15"/>
              </w:rPr>
              <w:t>Immutable financial accounting.</w:t>
            </w:r>
          </w:p>
        </w:tc>
      </w:tr>
      <w:tr>
        <w:tc>
          <w:tcPr>
            <w:tcW w:type="dxa" w:w="3312"/>
            <w:tcMar>
              <w:top w:w="120" w:type="dxa"/>
              <w:start w:w="140" w:type="dxa"/>
              <w:bottom w:w="120" w:type="dxa"/>
              <w:end w:w="140" w:type="dxa"/>
            </w:tcMar>
            <w:vAlign w:val="top"/>
          </w:tcPr>
          <w:p>
            <w:r>
              <w:rPr>
                <w:b/>
                <w:sz w:val="15"/>
              </w:rPr>
              <w:t>ReconciliationRecord</w:t>
            </w:r>
          </w:p>
        </w:tc>
        <w:tc>
          <w:tcPr>
            <w:tcW w:type="dxa" w:w="7632"/>
            <w:tcMar>
              <w:top w:w="120" w:type="dxa"/>
              <w:start w:w="140" w:type="dxa"/>
              <w:bottom w:w="120" w:type="dxa"/>
              <w:end w:w="140" w:type="dxa"/>
            </w:tcMar>
            <w:vAlign w:val="top"/>
          </w:tcPr>
          <w:p>
            <w:r>
              <w:rPr>
                <w:sz w:val="15"/>
              </w:rPr>
              <w:t>Expected vs observed external financial evidence.</w:t>
            </w:r>
          </w:p>
        </w:tc>
      </w:tr>
      <w:tr>
        <w:tc>
          <w:tcPr>
            <w:tcW w:type="dxa" w:w="3312"/>
            <w:tcMar>
              <w:top w:w="120" w:type="dxa"/>
              <w:start w:w="140" w:type="dxa"/>
              <w:bottom w:w="120" w:type="dxa"/>
              <w:end w:w="140" w:type="dxa"/>
            </w:tcMar>
            <w:vAlign w:val="top"/>
          </w:tcPr>
          <w:p>
            <w:r>
              <w:rPr>
                <w:b/>
                <w:sz w:val="15"/>
              </w:rPr>
              <w:t>ReconciliationBreak</w:t>
            </w:r>
          </w:p>
        </w:tc>
        <w:tc>
          <w:tcPr>
            <w:tcW w:type="dxa" w:w="7632"/>
            <w:tcMar>
              <w:top w:w="120" w:type="dxa"/>
              <w:start w:w="140" w:type="dxa"/>
              <w:bottom w:w="120" w:type="dxa"/>
              <w:end w:w="140" w:type="dxa"/>
            </w:tcMar>
            <w:vAlign w:val="top"/>
          </w:tcPr>
          <w:p>
            <w:r>
              <w:rPr>
                <w:sz w:val="15"/>
              </w:rPr>
              <w:t>Exception requiring automated/manual resolution.</w:t>
            </w:r>
          </w:p>
        </w:tc>
      </w:tr>
      <w:tr>
        <w:tc>
          <w:tcPr>
            <w:tcW w:type="dxa" w:w="3312"/>
            <w:tcMar>
              <w:top w:w="120" w:type="dxa"/>
              <w:start w:w="140" w:type="dxa"/>
              <w:bottom w:w="120" w:type="dxa"/>
              <w:end w:w="140" w:type="dxa"/>
            </w:tcMar>
            <w:vAlign w:val="top"/>
          </w:tcPr>
          <w:p>
            <w:r>
              <w:rPr>
                <w:b/>
                <w:sz w:val="15"/>
              </w:rPr>
              <w:t>RiskDecision</w:t>
            </w:r>
          </w:p>
        </w:tc>
        <w:tc>
          <w:tcPr>
            <w:tcW w:type="dxa" w:w="7632"/>
            <w:tcMar>
              <w:top w:w="120" w:type="dxa"/>
              <w:start w:w="140" w:type="dxa"/>
              <w:bottom w:w="120" w:type="dxa"/>
              <w:end w:w="140" w:type="dxa"/>
            </w:tcMar>
            <w:vAlign w:val="top"/>
          </w:tcPr>
          <w:p>
            <w:r>
              <w:rPr>
                <w:sz w:val="15"/>
              </w:rPr>
              <w:t>Policy inputs, result, rule version and reason codes.</w:t>
            </w:r>
          </w:p>
        </w:tc>
      </w:tr>
      <w:tr>
        <w:tc>
          <w:tcPr>
            <w:tcW w:type="dxa" w:w="3312"/>
            <w:tcMar>
              <w:top w:w="120" w:type="dxa"/>
              <w:start w:w="140" w:type="dxa"/>
              <w:bottom w:w="120" w:type="dxa"/>
              <w:end w:w="140" w:type="dxa"/>
            </w:tcMar>
            <w:vAlign w:val="top"/>
          </w:tcPr>
          <w:p>
            <w:r>
              <w:rPr>
                <w:b/>
                <w:sz w:val="15"/>
              </w:rPr>
              <w:t>WebhookEvent</w:t>
            </w:r>
          </w:p>
        </w:tc>
        <w:tc>
          <w:tcPr>
            <w:tcW w:type="dxa" w:w="7632"/>
            <w:tcMar>
              <w:top w:w="120" w:type="dxa"/>
              <w:start w:w="140" w:type="dxa"/>
              <w:bottom w:w="120" w:type="dxa"/>
              <w:end w:w="140" w:type="dxa"/>
            </w:tcMar>
            <w:vAlign w:val="top"/>
          </w:tcPr>
          <w:p>
            <w:r>
              <w:rPr>
                <w:sz w:val="15"/>
              </w:rPr>
              <w:t>Outbound customer event and delivery state.</w:t>
            </w:r>
          </w:p>
        </w:tc>
      </w:tr>
      <w:tr>
        <w:tc>
          <w:tcPr>
            <w:tcW w:type="dxa" w:w="3312"/>
            <w:tcMar>
              <w:top w:w="120" w:type="dxa"/>
              <w:start w:w="140" w:type="dxa"/>
              <w:bottom w:w="120" w:type="dxa"/>
              <w:end w:w="140" w:type="dxa"/>
            </w:tcMar>
            <w:vAlign w:val="top"/>
          </w:tcPr>
          <w:p>
            <w:r>
              <w:rPr>
                <w:b/>
                <w:sz w:val="15"/>
              </w:rPr>
              <w:t>AuditEvent</w:t>
            </w:r>
          </w:p>
        </w:tc>
        <w:tc>
          <w:tcPr>
            <w:tcW w:type="dxa" w:w="7632"/>
            <w:tcMar>
              <w:top w:w="120" w:type="dxa"/>
              <w:start w:w="140" w:type="dxa"/>
              <w:bottom w:w="120" w:type="dxa"/>
              <w:end w:w="140" w:type="dxa"/>
            </w:tcMar>
            <w:vAlign w:val="top"/>
          </w:tcPr>
          <w:p>
            <w:r>
              <w:rPr>
                <w:sz w:val="15"/>
              </w:rPr>
              <w:t>Who/what changed business state and why.</w:t>
            </w:r>
          </w:p>
        </w:tc>
      </w:tr>
      <w:tr>
        <w:tc>
          <w:tcPr>
            <w:tcW w:type="dxa" w:w="3312"/>
            <w:tcMar>
              <w:top w:w="120" w:type="dxa"/>
              <w:start w:w="140" w:type="dxa"/>
              <w:bottom w:w="120" w:type="dxa"/>
              <w:end w:w="140" w:type="dxa"/>
            </w:tcMar>
            <w:vAlign w:val="top"/>
          </w:tcPr>
          <w:p>
            <w:r>
              <w:rPr>
                <w:b/>
                <w:sz w:val="15"/>
              </w:rPr>
              <w:t>Document/Evidence</w:t>
            </w:r>
          </w:p>
        </w:tc>
        <w:tc>
          <w:tcPr>
            <w:tcW w:type="dxa" w:w="7632"/>
            <w:tcMar>
              <w:top w:w="120" w:type="dxa"/>
              <w:start w:w="140" w:type="dxa"/>
              <w:bottom w:w="120" w:type="dxa"/>
              <w:end w:w="140" w:type="dxa"/>
            </w:tcMar>
            <w:vAlign w:val="top"/>
          </w:tcPr>
          <w:p>
            <w:r>
              <w:rPr>
                <w:sz w:val="15"/>
              </w:rPr>
              <w:t>Statements, settlement confirmations, compliance evidence.</w:t>
            </w:r>
          </w:p>
        </w:tc>
      </w:tr>
    </w:tbl>
    <w:p>
      <w:pPr>
        <w:pStyle w:val="Heading2"/>
      </w:pPr>
      <w:r>
        <w:t>Data retention philosophy</w:t>
      </w:r>
    </w:p>
    <w:p>
      <w:r>
        <w:t>Financial and audit records should be designed for long-lived retention according to applicable legal/regulatory requirements. Avoid architecture that assumes records can be casually deleted. Separate customer-facing deletion/privacy workflows from immutable accounting and legally required records.</w:t>
      </w:r>
    </w:p>
    <w:p>
      <w:r>
        <w:br w:type="page"/>
      </w:r>
    </w:p>
    <w:p>
      <w:pPr>
        <w:pStyle w:val="OsaiMono"/>
      </w:pPr>
      <w:r>
        <w:t>11 / OPERATE LIKE MONEY INFRA</w:t>
      </w:r>
    </w:p>
    <w:p>
      <w:pPr>
        <w:pStyle w:val="Heading1"/>
      </w:pPr>
      <w:r>
        <w:t>11. Reliability, observability and infrastructure</w:t>
      </w:r>
    </w:p>
    <w:p>
      <w:pPr>
        <w:pStyle w:val="Heading2"/>
      </w:pPr>
      <w:r>
        <w:t>SLO mindset</w:t>
      </w:r>
    </w:p>
    <w:p>
      <w:r>
        <w:t>Do not promise a universal settlement time because finality depends on corridor and provider. Measure each corridor separately. Internal APIs should target high availability, but financial correctness always outranks superficial availability.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168"/>
            <w:shd w:fill="101417"/>
            <w:tcMar>
              <w:top w:w="120" w:type="dxa"/>
              <w:start w:w="140" w:type="dxa"/>
              <w:bottom w:w="120" w:type="dxa"/>
              <w:end w:w="140" w:type="dxa"/>
            </w:tcMar>
          </w:tcPr>
          <w:p>
            <w:r>
              <w:rPr>
                <w:b/>
                <w:color w:val="F3F1EA"/>
                <w:sz w:val="15"/>
              </w:rPr>
              <w:t>METRIC</w:t>
            </w:r>
          </w:p>
        </w:tc>
        <w:tc>
          <w:tcPr>
            <w:tcW w:type="dxa" w:w="7776"/>
            <w:shd w:fill="101417"/>
            <w:tcMar>
              <w:top w:w="120" w:type="dxa"/>
              <w:start w:w="140" w:type="dxa"/>
              <w:bottom w:w="120" w:type="dxa"/>
              <w:end w:w="140" w:type="dxa"/>
            </w:tcMar>
          </w:tcPr>
          <w:p>
            <w:r>
              <w:rPr>
                <w:b/>
                <w:color w:val="F3F1EA"/>
                <w:sz w:val="15"/>
              </w:rPr>
              <w:t>WHAT TO WATCH</w:t>
            </w:r>
          </w:p>
        </w:tc>
      </w:tr>
      <w:tr>
        <w:tc>
          <w:tcPr>
            <w:tcW w:type="dxa" w:w="3168"/>
            <w:tcMar>
              <w:top w:w="120" w:type="dxa"/>
              <w:start w:w="140" w:type="dxa"/>
              <w:bottom w:w="120" w:type="dxa"/>
              <w:end w:w="140" w:type="dxa"/>
            </w:tcMar>
            <w:vAlign w:val="top"/>
          </w:tcPr>
          <w:p>
            <w:r>
              <w:rPr>
                <w:b/>
                <w:sz w:val="15"/>
              </w:rPr>
              <w:t>API availability</w:t>
            </w:r>
          </w:p>
        </w:tc>
        <w:tc>
          <w:tcPr>
            <w:tcW w:type="dxa" w:w="7776"/>
            <w:tcMar>
              <w:top w:w="120" w:type="dxa"/>
              <w:start w:w="140" w:type="dxa"/>
              <w:bottom w:w="120" w:type="dxa"/>
              <w:end w:w="140" w:type="dxa"/>
            </w:tcMar>
            <w:vAlign w:val="top"/>
          </w:tcPr>
          <w:p>
            <w:r>
              <w:rPr>
                <w:sz w:val="15"/>
              </w:rPr>
              <w:t>Measure quote/trade APIs independently from partner rail availability.</w:t>
            </w:r>
          </w:p>
        </w:tc>
      </w:tr>
      <w:tr>
        <w:tc>
          <w:tcPr>
            <w:tcW w:type="dxa" w:w="3168"/>
            <w:tcMar>
              <w:top w:w="120" w:type="dxa"/>
              <w:start w:w="140" w:type="dxa"/>
              <w:bottom w:w="120" w:type="dxa"/>
              <w:end w:w="140" w:type="dxa"/>
            </w:tcMar>
            <w:vAlign w:val="top"/>
          </w:tcPr>
          <w:p>
            <w:r>
              <w:rPr>
                <w:b/>
                <w:sz w:val="15"/>
              </w:rPr>
              <w:t>Settlement success rate</w:t>
            </w:r>
          </w:p>
        </w:tc>
        <w:tc>
          <w:tcPr>
            <w:tcW w:type="dxa" w:w="7776"/>
            <w:tcMar>
              <w:top w:w="120" w:type="dxa"/>
              <w:start w:w="140" w:type="dxa"/>
              <w:bottom w:w="120" w:type="dxa"/>
              <w:end w:w="140" w:type="dxa"/>
            </w:tcMar>
            <w:vAlign w:val="top"/>
          </w:tcPr>
          <w:p>
            <w:r>
              <w:rPr>
                <w:sz w:val="15"/>
              </w:rPr>
              <w:t>Valid funded trades reaching finality without unexplained manual repair.</w:t>
            </w:r>
          </w:p>
        </w:tc>
      </w:tr>
      <w:tr>
        <w:tc>
          <w:tcPr>
            <w:tcW w:type="dxa" w:w="3168"/>
            <w:tcMar>
              <w:top w:w="120" w:type="dxa"/>
              <w:start w:w="140" w:type="dxa"/>
              <w:bottom w:w="120" w:type="dxa"/>
              <w:end w:w="140" w:type="dxa"/>
            </w:tcMar>
            <w:vAlign w:val="top"/>
          </w:tcPr>
          <w:p>
            <w:r>
              <w:rPr>
                <w:b/>
                <w:sz w:val="15"/>
              </w:rPr>
              <w:t>Unknown-state age</w:t>
            </w:r>
          </w:p>
        </w:tc>
        <w:tc>
          <w:tcPr>
            <w:tcW w:type="dxa" w:w="7776"/>
            <w:tcMar>
              <w:top w:w="120" w:type="dxa"/>
              <w:start w:w="140" w:type="dxa"/>
              <w:bottom w:w="120" w:type="dxa"/>
              <w:end w:w="140" w:type="dxa"/>
            </w:tcMar>
            <w:vAlign w:val="top"/>
          </w:tcPr>
          <w:p>
            <w:r>
              <w:rPr>
                <w:sz w:val="15"/>
              </w:rPr>
              <w:t>How long transactions remain uncertain after provider timeout.</w:t>
            </w:r>
          </w:p>
        </w:tc>
      </w:tr>
      <w:tr>
        <w:tc>
          <w:tcPr>
            <w:tcW w:type="dxa" w:w="3168"/>
            <w:tcMar>
              <w:top w:w="120" w:type="dxa"/>
              <w:start w:w="140" w:type="dxa"/>
              <w:bottom w:w="120" w:type="dxa"/>
              <w:end w:w="140" w:type="dxa"/>
            </w:tcMar>
            <w:vAlign w:val="top"/>
          </w:tcPr>
          <w:p>
            <w:r>
              <w:rPr>
                <w:b/>
                <w:sz w:val="15"/>
              </w:rPr>
              <w:t>Reconciliation breaks</w:t>
            </w:r>
          </w:p>
        </w:tc>
        <w:tc>
          <w:tcPr>
            <w:tcW w:type="dxa" w:w="7776"/>
            <w:tcMar>
              <w:top w:w="120" w:type="dxa"/>
              <w:start w:w="140" w:type="dxa"/>
              <w:bottom w:w="120" w:type="dxa"/>
              <w:end w:w="140" w:type="dxa"/>
            </w:tcMar>
            <w:vAlign w:val="top"/>
          </w:tcPr>
          <w:p>
            <w:r>
              <w:rPr>
                <w:sz w:val="15"/>
              </w:rPr>
              <w:t>Count and value; target near-zero unexplained aged value.</w:t>
            </w:r>
          </w:p>
        </w:tc>
      </w:tr>
      <w:tr>
        <w:tc>
          <w:tcPr>
            <w:tcW w:type="dxa" w:w="3168"/>
            <w:tcMar>
              <w:top w:w="120" w:type="dxa"/>
              <w:start w:w="140" w:type="dxa"/>
              <w:bottom w:w="120" w:type="dxa"/>
              <w:end w:w="140" w:type="dxa"/>
            </w:tcMar>
            <w:vAlign w:val="top"/>
          </w:tcPr>
          <w:p>
            <w:r>
              <w:rPr>
                <w:b/>
                <w:sz w:val="15"/>
              </w:rPr>
              <w:t>Manual intervention rate</w:t>
            </w:r>
          </w:p>
        </w:tc>
        <w:tc>
          <w:tcPr>
            <w:tcW w:type="dxa" w:w="7776"/>
            <w:tcMar>
              <w:top w:w="120" w:type="dxa"/>
              <w:start w:w="140" w:type="dxa"/>
              <w:bottom w:w="120" w:type="dxa"/>
              <w:end w:w="140" w:type="dxa"/>
            </w:tcMar>
            <w:vAlign w:val="top"/>
          </w:tcPr>
          <w:p>
            <w:r>
              <w:rPr>
                <w:sz w:val="15"/>
              </w:rPr>
              <w:t>Interventions per 1,000 trades / per $ volume.</w:t>
            </w:r>
          </w:p>
        </w:tc>
      </w:tr>
      <w:tr>
        <w:tc>
          <w:tcPr>
            <w:tcW w:type="dxa" w:w="3168"/>
            <w:tcMar>
              <w:top w:w="120" w:type="dxa"/>
              <w:start w:w="140" w:type="dxa"/>
              <w:bottom w:w="120" w:type="dxa"/>
              <w:end w:w="140" w:type="dxa"/>
            </w:tcMar>
            <w:vAlign w:val="top"/>
          </w:tcPr>
          <w:p>
            <w:r>
              <w:rPr>
                <w:b/>
                <w:sz w:val="15"/>
              </w:rPr>
              <w:t>Quote acceptance latency</w:t>
            </w:r>
          </w:p>
        </w:tc>
        <w:tc>
          <w:tcPr>
            <w:tcW w:type="dxa" w:w="7776"/>
            <w:tcMar>
              <w:top w:w="120" w:type="dxa"/>
              <w:start w:w="140" w:type="dxa"/>
              <w:bottom w:w="120" w:type="dxa"/>
              <w:end w:w="140" w:type="dxa"/>
            </w:tcMar>
            <w:vAlign w:val="top"/>
          </w:tcPr>
          <w:p>
            <w:r>
              <w:rPr>
                <w:sz w:val="15"/>
              </w:rPr>
              <w:t>Customer-visible quote and acceptance performance.</w:t>
            </w:r>
          </w:p>
        </w:tc>
      </w:tr>
      <w:tr>
        <w:tc>
          <w:tcPr>
            <w:tcW w:type="dxa" w:w="3168"/>
            <w:tcMar>
              <w:top w:w="120" w:type="dxa"/>
              <w:start w:w="140" w:type="dxa"/>
              <w:bottom w:w="120" w:type="dxa"/>
              <w:end w:w="140" w:type="dxa"/>
            </w:tcMar>
            <w:vAlign w:val="top"/>
          </w:tcPr>
          <w:p>
            <w:r>
              <w:rPr>
                <w:b/>
                <w:sz w:val="15"/>
              </w:rPr>
              <w:t>Provider health</w:t>
            </w:r>
          </w:p>
        </w:tc>
        <w:tc>
          <w:tcPr>
            <w:tcW w:type="dxa" w:w="7776"/>
            <w:tcMar>
              <w:top w:w="120" w:type="dxa"/>
              <w:start w:w="140" w:type="dxa"/>
              <w:bottom w:w="120" w:type="dxa"/>
              <w:end w:w="140" w:type="dxa"/>
            </w:tcMar>
            <w:vAlign w:val="top"/>
          </w:tcPr>
          <w:p>
            <w:r>
              <w:rPr>
                <w:sz w:val="15"/>
              </w:rPr>
              <w:t>Latency, error rate, callback delay, liquidity availability.</w:t>
            </w:r>
          </w:p>
        </w:tc>
      </w:tr>
      <w:tr>
        <w:tc>
          <w:tcPr>
            <w:tcW w:type="dxa" w:w="3168"/>
            <w:tcMar>
              <w:top w:w="120" w:type="dxa"/>
              <w:start w:w="140" w:type="dxa"/>
              <w:bottom w:w="120" w:type="dxa"/>
              <w:end w:w="140" w:type="dxa"/>
            </w:tcMar>
            <w:vAlign w:val="top"/>
          </w:tcPr>
          <w:p>
            <w:r>
              <w:rPr>
                <w:b/>
                <w:sz w:val="15"/>
              </w:rPr>
              <w:t>Ledger integrity</w:t>
            </w:r>
          </w:p>
        </w:tc>
        <w:tc>
          <w:tcPr>
            <w:tcW w:type="dxa" w:w="7776"/>
            <w:tcMar>
              <w:top w:w="120" w:type="dxa"/>
              <w:start w:w="140" w:type="dxa"/>
              <w:bottom w:w="120" w:type="dxa"/>
              <w:end w:w="140" w:type="dxa"/>
            </w:tcMar>
            <w:vAlign w:val="top"/>
          </w:tcPr>
          <w:p>
            <w:r>
              <w:rPr>
                <w:sz w:val="15"/>
              </w:rPr>
              <w:t>Invariant checks; any imbalance is severity-1.</w:t>
            </w:r>
          </w:p>
        </w:tc>
      </w:tr>
    </w:tbl>
    <w:p>
      <w:pPr>
        <w:pStyle w:val="Heading2"/>
      </w:pPr>
      <w:r>
        <w:t>Observability requirements</w:t>
      </w:r>
    </w:p>
    <w:p>
      <w:pPr>
        <w:pStyle w:val="ListBullet"/>
        <w:spacing w:after="40"/>
      </w:pPr>
      <w:r>
        <w:t>One correlation ID follows quote → trade → provider request → settlement → journal → reconciliation.</w:t>
      </w:r>
    </w:p>
    <w:p>
      <w:pPr>
        <w:pStyle w:val="ListBullet"/>
        <w:spacing w:after="40"/>
      </w:pPr>
      <w:r>
        <w:t>Structured logs with no secrets/unsafe PII.</w:t>
      </w:r>
    </w:p>
    <w:p>
      <w:pPr>
        <w:pStyle w:val="ListBullet"/>
        <w:spacing w:after="40"/>
      </w:pPr>
      <w:r>
        <w:t>Distributed tracing for provider and workflow latency.</w:t>
      </w:r>
    </w:p>
    <w:p>
      <w:pPr>
        <w:pStyle w:val="ListBullet"/>
        <w:spacing w:after="40"/>
      </w:pPr>
      <w:r>
        <w:t>Metrics and dashboards by provider, corridor, currency, error class and customer tier.</w:t>
      </w:r>
    </w:p>
    <w:p>
      <w:pPr>
        <w:pStyle w:val="ListBullet"/>
        <w:spacing w:after="40"/>
      </w:pPr>
      <w:r>
        <w:t>Alert on ledger invariant failure, duplicate-risk conditions, stuck workflows, rising provider failure, webhook backlog and reconciliation breaks.</w:t>
      </w:r>
    </w:p>
    <w:p>
      <w:pPr>
        <w:pStyle w:val="ListBullet"/>
        <w:spacing w:after="40"/>
      </w:pPr>
      <w:r>
        <w:t>Runbooks for provider outage, bank callback failure, quote outage, ledger degradation and reconciliation mismatch.</w:t>
      </w:r>
    </w:p>
    <w:p>
      <w:pPr>
        <w:pStyle w:val="Heading2"/>
      </w:pPr>
      <w:r>
        <w:t>Deployment</w:t>
      </w:r>
    </w:p>
    <w:p>
      <w:r>
        <w:t>Use separate dev/staging/production environments and separate credentials/accounts. Infrastructure as code. Database migrations are reviewed, reversible where practical, and never bundled casually with risky feature releases. Use blue/green or rolling deployment with workflow compatibility. Backups must be encrypted and restoration tested, not merely configured.</w:t>
      </w:r>
    </w:p>
    <w:p>
      <w:r>
        <w:br w:type="page"/>
      </w:r>
    </w:p>
    <w:p>
      <w:pPr>
        <w:pStyle w:val="OsaiMono"/>
      </w:pPr>
      <w:r>
        <w:t>12 / RAIL-AGNOSTIC</w:t>
      </w:r>
    </w:p>
    <w:p>
      <w:pPr>
        <w:pStyle w:val="Heading1"/>
      </w:pPr>
      <w:r>
        <w:t>12. Stablecoin rails: build as a provider class, not a separate product</w:t>
      </w:r>
    </w:p>
    <w:p>
      <w:r>
        <w:t>Stablecoins should enter the same execution architecture as bank rails. The customer asks for a fiat settlement outcome; Osai may choose a regulated stablecoin route underneath when policy, price, liquidity and settlement conditions make it appropriate.</w:t>
      </w:r>
    </w:p>
    <w:p>
      <w:pPr>
        <w:pStyle w:val="Heading2"/>
      </w:pPr>
      <w:r>
        <w:t>Architecture requirements</w:t>
      </w:r>
    </w:p>
    <w:p>
      <w:pPr>
        <w:pStyle w:val="ListBullet"/>
        <w:spacing w:after="40"/>
      </w:pPr>
      <w:r>
        <w:t>Represent VASP/stablecoin venues through adapters with the same quote/transfer/status/reconciliation semantics.</w:t>
      </w:r>
    </w:p>
    <w:p>
      <w:pPr>
        <w:pStyle w:val="ListBullet"/>
        <w:spacing w:after="40"/>
      </w:pPr>
      <w:r>
        <w:t>Keep blockchain transaction hash, chain/network, wallet/custody account and finality evidence as rail-specific metadata, not as the canonical customer financial record.</w:t>
      </w:r>
    </w:p>
    <w:p>
      <w:pPr>
        <w:pStyle w:val="ListBullet"/>
        <w:spacing w:after="40"/>
      </w:pPr>
      <w:r>
        <w:t>Model network/gas fees explicitly.</w:t>
      </w:r>
    </w:p>
    <w:p>
      <w:pPr>
        <w:pStyle w:val="ListBullet"/>
        <w:spacing w:after="40"/>
      </w:pPr>
      <w:r>
        <w:t>Implement chain/network allowlists and address validation.</w:t>
      </w:r>
    </w:p>
    <w:p>
      <w:pPr>
        <w:pStyle w:val="ListBullet"/>
        <w:spacing w:after="40"/>
      </w:pPr>
      <w:r>
        <w:t>Never infer “settled” from transaction broadcast. Require configured confirmation/finality policy and, where relevant, off-ramp confirmation.</w:t>
      </w:r>
    </w:p>
    <w:p>
      <w:pPr>
        <w:pStyle w:val="ListBullet"/>
        <w:spacing w:after="40"/>
      </w:pPr>
      <w:r>
        <w:t>Support regulated custody/on-off-ramp partners first; do not build proprietary custody before the regulatory and commercial case exists.</w:t>
      </w:r>
    </w:p>
    <w:p>
      <w:pPr>
        <w:pStyle w:val="Heading2"/>
      </w:pPr>
      <w:r>
        <w:t>Example hidden route</w:t>
      </w:r>
    </w:p>
    <w:p>
      <w:r>
        <w:t>Customer instruction: NGN → USD destination. Osai may choose NGN funding → regulated VASP/liquidity provider → USDC transport → regulated off-ramp → USD bank settlement. To the customer this remains one Osai trade with one quote, one timeline and one settlement result.</w:t>
      </w:r>
    </w:p>
    <w:p>
      <w:r>
        <w:br w:type="page"/>
      </w:r>
    </w:p>
    <w:p>
      <w:pPr>
        <w:pStyle w:val="OsaiMono"/>
      </w:pPr>
      <w:r>
        <w:t>13 / EXECUTION ROADMAP</w:t>
      </w:r>
    </w:p>
    <w:p>
      <w:pPr>
        <w:pStyle w:val="Heading1"/>
      </w:pPr>
      <w:r>
        <w:t>13. Delivery plan: what to build in order</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shd w:fill="101417"/>
            <w:tcMar>
              <w:top w:w="120" w:type="dxa"/>
              <w:start w:w="140" w:type="dxa"/>
              <w:bottom w:w="120" w:type="dxa"/>
              <w:end w:w="140" w:type="dxa"/>
            </w:tcMar>
          </w:tcPr>
          <w:p>
            <w:r>
              <w:rPr>
                <w:b/>
                <w:color w:val="F3F1EA"/>
                <w:sz w:val="15"/>
              </w:rPr>
              <w:t>PHASE</w:t>
            </w:r>
          </w:p>
        </w:tc>
        <w:tc>
          <w:tcPr>
            <w:tcW w:type="dxa" w:w="6480"/>
            <w:shd w:fill="101417"/>
            <w:tcMar>
              <w:top w:w="120" w:type="dxa"/>
              <w:start w:w="140" w:type="dxa"/>
              <w:bottom w:w="120" w:type="dxa"/>
              <w:end w:w="140" w:type="dxa"/>
            </w:tcMar>
          </w:tcPr>
          <w:p>
            <w:r>
              <w:rPr>
                <w:b/>
                <w:color w:val="F3F1EA"/>
                <w:sz w:val="15"/>
              </w:rPr>
              <w:t>BUILD</w:t>
            </w:r>
          </w:p>
        </w:tc>
        <w:tc>
          <w:tcPr>
            <w:tcW w:type="dxa" w:w="2304"/>
            <w:shd w:fill="101417"/>
            <w:tcMar>
              <w:top w:w="120" w:type="dxa"/>
              <w:start w:w="140" w:type="dxa"/>
              <w:bottom w:w="120" w:type="dxa"/>
              <w:end w:w="140" w:type="dxa"/>
            </w:tcMar>
          </w:tcPr>
          <w:p>
            <w:r>
              <w:rPr>
                <w:b/>
                <w:color w:val="F3F1EA"/>
                <w:sz w:val="15"/>
              </w:rPr>
              <w:t>EXIT CRITERION</w:t>
            </w:r>
          </w:p>
        </w:tc>
      </w:tr>
      <w:tr>
        <w:tc>
          <w:tcPr>
            <w:tcW w:type="dxa" w:w="2376"/>
            <w:tcMar>
              <w:top w:w="120" w:type="dxa"/>
              <w:start w:w="140" w:type="dxa"/>
              <w:bottom w:w="120" w:type="dxa"/>
              <w:end w:w="140" w:type="dxa"/>
            </w:tcMar>
            <w:vAlign w:val="top"/>
          </w:tcPr>
          <w:p>
            <w:r>
              <w:rPr>
                <w:b/>
                <w:sz w:val="15"/>
              </w:rPr>
              <w:t>Sprint 0: Architecture</w:t>
            </w:r>
          </w:p>
        </w:tc>
        <w:tc>
          <w:tcPr>
            <w:tcW w:type="dxa" w:w="6480"/>
            <w:tcMar>
              <w:top w:w="120" w:type="dxa"/>
              <w:start w:w="140" w:type="dxa"/>
              <w:bottom w:w="120" w:type="dxa"/>
              <w:end w:w="140" w:type="dxa"/>
            </w:tcMar>
            <w:vAlign w:val="top"/>
          </w:tcPr>
          <w:p>
            <w:r>
              <w:rPr>
                <w:sz w:val="15"/>
              </w:rPr>
              <w:t>Domain model, ledger schema, state machines, adapter contracts, threat model, ADRs, repo/CI/CD, environments.</w:t>
            </w:r>
          </w:p>
        </w:tc>
        <w:tc>
          <w:tcPr>
            <w:tcW w:type="dxa" w:w="2304"/>
            <w:tcMar>
              <w:top w:w="120" w:type="dxa"/>
              <w:start w:w="140" w:type="dxa"/>
              <w:bottom w:w="120" w:type="dxa"/>
              <w:end w:w="140" w:type="dxa"/>
            </w:tcMar>
            <w:vAlign w:val="top"/>
          </w:tcPr>
          <w:p>
            <w:r>
              <w:rPr>
                <w:sz w:val="15"/>
              </w:rPr>
              <w:t>Do not code provider spaghetti first.</w:t>
            </w:r>
          </w:p>
        </w:tc>
      </w:tr>
      <w:tr>
        <w:tc>
          <w:tcPr>
            <w:tcW w:type="dxa" w:w="2376"/>
            <w:tcMar>
              <w:top w:w="120" w:type="dxa"/>
              <w:start w:w="140" w:type="dxa"/>
              <w:bottom w:w="120" w:type="dxa"/>
              <w:end w:w="140" w:type="dxa"/>
            </w:tcMar>
            <w:vAlign w:val="top"/>
          </w:tcPr>
          <w:p>
            <w:r>
              <w:rPr>
                <w:b/>
                <w:sz w:val="15"/>
              </w:rPr>
              <w:t>Phase 1: Financial core</w:t>
            </w:r>
          </w:p>
        </w:tc>
        <w:tc>
          <w:tcPr>
            <w:tcW w:type="dxa" w:w="6480"/>
            <w:tcMar>
              <w:top w:w="120" w:type="dxa"/>
              <w:start w:w="140" w:type="dxa"/>
              <w:bottom w:w="120" w:type="dxa"/>
              <w:end w:w="140" w:type="dxa"/>
            </w:tcMar>
            <w:vAlign w:val="top"/>
          </w:tcPr>
          <w:p>
            <w:r>
              <w:rPr>
                <w:sz w:val="15"/>
              </w:rPr>
              <w:t>Ledger, accounts, holds, idempotency, audit log, trade state machine, internal admin basics.</w:t>
            </w:r>
          </w:p>
        </w:tc>
        <w:tc>
          <w:tcPr>
            <w:tcW w:type="dxa" w:w="2304"/>
            <w:tcMar>
              <w:top w:w="120" w:type="dxa"/>
              <w:start w:w="140" w:type="dxa"/>
              <w:bottom w:w="120" w:type="dxa"/>
              <w:end w:w="140" w:type="dxa"/>
            </w:tcMar>
            <w:vAlign w:val="top"/>
          </w:tcPr>
          <w:p>
            <w:r>
              <w:rPr>
                <w:sz w:val="15"/>
              </w:rPr>
              <w:t>All invariant tests pass.</w:t>
            </w:r>
          </w:p>
        </w:tc>
      </w:tr>
      <w:tr>
        <w:tc>
          <w:tcPr>
            <w:tcW w:type="dxa" w:w="2376"/>
            <w:tcMar>
              <w:top w:w="120" w:type="dxa"/>
              <w:start w:w="140" w:type="dxa"/>
              <w:bottom w:w="120" w:type="dxa"/>
              <w:end w:w="140" w:type="dxa"/>
            </w:tcMar>
            <w:vAlign w:val="top"/>
          </w:tcPr>
          <w:p>
            <w:r>
              <w:rPr>
                <w:b/>
                <w:sz w:val="15"/>
              </w:rPr>
              <w:t>Phase 2: Quote + sandbox</w:t>
            </w:r>
          </w:p>
        </w:tc>
        <w:tc>
          <w:tcPr>
            <w:tcW w:type="dxa" w:w="6480"/>
            <w:tcMar>
              <w:top w:w="120" w:type="dxa"/>
              <w:start w:w="140" w:type="dxa"/>
              <w:bottom w:w="120" w:type="dxa"/>
              <w:end w:w="140" w:type="dxa"/>
            </w:tcMar>
            <w:vAlign w:val="top"/>
          </w:tcPr>
          <w:p>
            <w:r>
              <w:rPr>
                <w:sz w:val="15"/>
              </w:rPr>
              <w:t>Quote service, provider simulator, deterministic router, executable quote acceptance.</w:t>
            </w:r>
          </w:p>
        </w:tc>
        <w:tc>
          <w:tcPr>
            <w:tcW w:type="dxa" w:w="2304"/>
            <w:tcMar>
              <w:top w:w="120" w:type="dxa"/>
              <w:start w:w="140" w:type="dxa"/>
              <w:bottom w:w="120" w:type="dxa"/>
              <w:end w:w="140" w:type="dxa"/>
            </w:tcMar>
            <w:vAlign w:val="top"/>
          </w:tcPr>
          <w:p>
            <w:r>
              <w:rPr>
                <w:sz w:val="15"/>
              </w:rPr>
              <w:t>End-to-end simulated trade.</w:t>
            </w:r>
          </w:p>
        </w:tc>
      </w:tr>
      <w:tr>
        <w:tc>
          <w:tcPr>
            <w:tcW w:type="dxa" w:w="2376"/>
            <w:tcMar>
              <w:top w:w="120" w:type="dxa"/>
              <w:start w:w="140" w:type="dxa"/>
              <w:bottom w:w="120" w:type="dxa"/>
              <w:end w:w="140" w:type="dxa"/>
            </w:tcMar>
            <w:vAlign w:val="top"/>
          </w:tcPr>
          <w:p>
            <w:r>
              <w:rPr>
                <w:b/>
                <w:sz w:val="15"/>
              </w:rPr>
              <w:t>Phase 3: First provider pair</w:t>
            </w:r>
          </w:p>
        </w:tc>
        <w:tc>
          <w:tcPr>
            <w:tcW w:type="dxa" w:w="6480"/>
            <w:tcMar>
              <w:top w:w="120" w:type="dxa"/>
              <w:start w:w="140" w:type="dxa"/>
              <w:bottom w:w="120" w:type="dxa"/>
              <w:end w:w="140" w:type="dxa"/>
            </w:tcMar>
            <w:vAlign w:val="top"/>
          </w:tcPr>
          <w:p>
            <w:r>
              <w:rPr>
                <w:sz w:val="15"/>
              </w:rPr>
              <w:t>One liquidity provider + one settlement rail adapter, webhooks/polling, durable workflow.</w:t>
            </w:r>
          </w:p>
        </w:tc>
        <w:tc>
          <w:tcPr>
            <w:tcW w:type="dxa" w:w="2304"/>
            <w:tcMar>
              <w:top w:w="120" w:type="dxa"/>
              <w:start w:w="140" w:type="dxa"/>
              <w:bottom w:w="120" w:type="dxa"/>
              <w:end w:w="140" w:type="dxa"/>
            </w:tcMar>
            <w:vAlign w:val="top"/>
          </w:tcPr>
          <w:p>
            <w:r>
              <w:rPr>
                <w:sz w:val="15"/>
              </w:rPr>
              <w:t>Controlled real/sandbox settlement.</w:t>
            </w:r>
          </w:p>
        </w:tc>
      </w:tr>
      <w:tr>
        <w:tc>
          <w:tcPr>
            <w:tcW w:type="dxa" w:w="2376"/>
            <w:tcMar>
              <w:top w:w="120" w:type="dxa"/>
              <w:start w:w="140" w:type="dxa"/>
              <w:bottom w:w="120" w:type="dxa"/>
              <w:end w:w="140" w:type="dxa"/>
            </w:tcMar>
            <w:vAlign w:val="top"/>
          </w:tcPr>
          <w:p>
            <w:r>
              <w:rPr>
                <w:b/>
                <w:sz w:val="15"/>
              </w:rPr>
              <w:t>Phase 4: Reconciliation</w:t>
            </w:r>
          </w:p>
        </w:tc>
        <w:tc>
          <w:tcPr>
            <w:tcW w:type="dxa" w:w="6480"/>
            <w:tcMar>
              <w:top w:w="120" w:type="dxa"/>
              <w:start w:w="140" w:type="dxa"/>
              <w:bottom w:w="120" w:type="dxa"/>
              <w:end w:w="140" w:type="dxa"/>
            </w:tcMar>
            <w:vAlign w:val="top"/>
          </w:tcPr>
          <w:p>
            <w:r>
              <w:rPr>
                <w:sz w:val="15"/>
              </w:rPr>
              <w:t>Statement ingestion, transaction/balance reconciliation, break queue, finance reports.</w:t>
            </w:r>
          </w:p>
        </w:tc>
        <w:tc>
          <w:tcPr>
            <w:tcW w:type="dxa" w:w="2304"/>
            <w:tcMar>
              <w:top w:w="120" w:type="dxa"/>
              <w:start w:w="140" w:type="dxa"/>
              <w:bottom w:w="120" w:type="dxa"/>
              <w:end w:w="140" w:type="dxa"/>
            </w:tcMar>
            <w:vAlign w:val="top"/>
          </w:tcPr>
          <w:p>
            <w:r>
              <w:rPr>
                <w:sz w:val="15"/>
              </w:rPr>
              <w:t>Books explain every movement.</w:t>
            </w:r>
          </w:p>
        </w:tc>
      </w:tr>
      <w:tr>
        <w:tc>
          <w:tcPr>
            <w:tcW w:type="dxa" w:w="2376"/>
            <w:tcMar>
              <w:top w:w="120" w:type="dxa"/>
              <w:start w:w="140" w:type="dxa"/>
              <w:bottom w:w="120" w:type="dxa"/>
              <w:end w:w="140" w:type="dxa"/>
            </w:tcMar>
            <w:vAlign w:val="top"/>
          </w:tcPr>
          <w:p>
            <w:r>
              <w:rPr>
                <w:b/>
                <w:sz w:val="15"/>
              </w:rPr>
              <w:t>Phase 5: Customer API</w:t>
            </w:r>
          </w:p>
        </w:tc>
        <w:tc>
          <w:tcPr>
            <w:tcW w:type="dxa" w:w="6480"/>
            <w:tcMar>
              <w:top w:w="120" w:type="dxa"/>
              <w:start w:w="140" w:type="dxa"/>
              <w:bottom w:w="120" w:type="dxa"/>
              <w:end w:w="140" w:type="dxa"/>
            </w:tcMar>
            <w:vAlign w:val="top"/>
          </w:tcPr>
          <w:p>
            <w:r>
              <w:rPr>
                <w:sz w:val="15"/>
              </w:rPr>
              <w:t>External auth, balances, quotes, trades, webhooks, docs, rate limits.</w:t>
            </w:r>
          </w:p>
        </w:tc>
        <w:tc>
          <w:tcPr>
            <w:tcW w:type="dxa" w:w="2304"/>
            <w:tcMar>
              <w:top w:w="120" w:type="dxa"/>
              <w:start w:w="140" w:type="dxa"/>
              <w:bottom w:w="120" w:type="dxa"/>
              <w:end w:w="140" w:type="dxa"/>
            </w:tcMar>
            <w:vAlign w:val="top"/>
          </w:tcPr>
          <w:p>
            <w:r>
              <w:rPr>
                <w:sz w:val="15"/>
              </w:rPr>
              <w:t>Design partner integrates.</w:t>
            </w:r>
          </w:p>
        </w:tc>
      </w:tr>
      <w:tr>
        <w:tc>
          <w:tcPr>
            <w:tcW w:type="dxa" w:w="2376"/>
            <w:tcMar>
              <w:top w:w="120" w:type="dxa"/>
              <w:start w:w="140" w:type="dxa"/>
              <w:bottom w:w="120" w:type="dxa"/>
              <w:end w:w="140" w:type="dxa"/>
            </w:tcMar>
            <w:vAlign w:val="top"/>
          </w:tcPr>
          <w:p>
            <w:r>
              <w:rPr>
                <w:b/>
                <w:sz w:val="15"/>
              </w:rPr>
              <w:t>Phase 6: Production hardening</w:t>
            </w:r>
          </w:p>
        </w:tc>
        <w:tc>
          <w:tcPr>
            <w:tcW w:type="dxa" w:w="6480"/>
            <w:tcMar>
              <w:top w:w="120" w:type="dxa"/>
              <w:start w:w="140" w:type="dxa"/>
              <w:bottom w:w="120" w:type="dxa"/>
              <w:end w:w="140" w:type="dxa"/>
            </w:tcMar>
            <w:vAlign w:val="top"/>
          </w:tcPr>
          <w:p>
            <w:r>
              <w:rPr>
                <w:sz w:val="15"/>
              </w:rPr>
              <w:t>Security review, load/failure tests, backup restore, runbooks, alerting, maker-checker.</w:t>
            </w:r>
          </w:p>
        </w:tc>
        <w:tc>
          <w:tcPr>
            <w:tcW w:type="dxa" w:w="2304"/>
            <w:tcMar>
              <w:top w:w="120" w:type="dxa"/>
              <w:start w:w="140" w:type="dxa"/>
              <w:bottom w:w="120" w:type="dxa"/>
              <w:end w:w="140" w:type="dxa"/>
            </w:tcMar>
            <w:vAlign w:val="top"/>
          </w:tcPr>
          <w:p>
            <w:r>
              <w:rPr>
                <w:sz w:val="15"/>
              </w:rPr>
              <w:t>Pilot-ready.</w:t>
            </w:r>
          </w:p>
        </w:tc>
      </w:tr>
      <w:tr>
        <w:tc>
          <w:tcPr>
            <w:tcW w:type="dxa" w:w="2376"/>
            <w:tcMar>
              <w:top w:w="120" w:type="dxa"/>
              <w:start w:w="140" w:type="dxa"/>
              <w:bottom w:w="120" w:type="dxa"/>
              <w:end w:w="140" w:type="dxa"/>
            </w:tcMar>
            <w:vAlign w:val="top"/>
          </w:tcPr>
          <w:p>
            <w:r>
              <w:rPr>
                <w:b/>
                <w:sz w:val="15"/>
              </w:rPr>
              <w:t>Phase 7: Multi-provider</w:t>
            </w:r>
          </w:p>
        </w:tc>
        <w:tc>
          <w:tcPr>
            <w:tcW w:type="dxa" w:w="6480"/>
            <w:tcMar>
              <w:top w:w="120" w:type="dxa"/>
              <w:start w:w="140" w:type="dxa"/>
              <w:bottom w:w="120" w:type="dxa"/>
              <w:end w:w="140" w:type="dxa"/>
            </w:tcMar>
            <w:vAlign w:val="top"/>
          </w:tcPr>
          <w:p>
            <w:r>
              <w:rPr>
                <w:sz w:val="15"/>
              </w:rPr>
              <w:t>Second LP/rail; routing based on economics + reliability + limits.</w:t>
            </w:r>
          </w:p>
        </w:tc>
        <w:tc>
          <w:tcPr>
            <w:tcW w:type="dxa" w:w="2304"/>
            <w:tcMar>
              <w:top w:w="120" w:type="dxa"/>
              <w:start w:w="140" w:type="dxa"/>
              <w:bottom w:w="120" w:type="dxa"/>
              <w:end w:w="140" w:type="dxa"/>
            </w:tcMar>
            <w:vAlign w:val="top"/>
          </w:tcPr>
          <w:p>
            <w:r>
              <w:rPr>
                <w:sz w:val="15"/>
              </w:rPr>
              <w:t>Proves provider neutrality.</w:t>
            </w:r>
          </w:p>
        </w:tc>
      </w:tr>
      <w:tr>
        <w:tc>
          <w:tcPr>
            <w:tcW w:type="dxa" w:w="2376"/>
            <w:tcMar>
              <w:top w:w="120" w:type="dxa"/>
              <w:start w:w="140" w:type="dxa"/>
              <w:bottom w:w="120" w:type="dxa"/>
              <w:end w:w="140" w:type="dxa"/>
            </w:tcMar>
            <w:vAlign w:val="top"/>
          </w:tcPr>
          <w:p>
            <w:r>
              <w:rPr>
                <w:b/>
                <w:sz w:val="15"/>
              </w:rPr>
              <w:t>Phase 8: Scale</w:t>
            </w:r>
          </w:p>
        </w:tc>
        <w:tc>
          <w:tcPr>
            <w:tcW w:type="dxa" w:w="6480"/>
            <w:tcMar>
              <w:top w:w="120" w:type="dxa"/>
              <w:start w:w="140" w:type="dxa"/>
              <w:bottom w:w="120" w:type="dxa"/>
              <w:end w:w="140" w:type="dxa"/>
            </w:tcMar>
            <w:vAlign w:val="top"/>
          </w:tcPr>
          <w:p>
            <w:r>
              <w:rPr>
                <w:sz w:val="15"/>
              </w:rPr>
              <w:t>More corridors, direct integrations, licensing-driven capabilities, performance optimization.</w:t>
            </w:r>
          </w:p>
        </w:tc>
        <w:tc>
          <w:tcPr>
            <w:tcW w:type="dxa" w:w="2304"/>
            <w:tcMar>
              <w:top w:w="120" w:type="dxa"/>
              <w:start w:w="140" w:type="dxa"/>
              <w:bottom w:w="120" w:type="dxa"/>
              <w:end w:w="140" w:type="dxa"/>
            </w:tcMar>
            <w:vAlign w:val="top"/>
          </w:tcPr>
          <w:p>
            <w:r>
              <w:rPr>
                <w:sz w:val="15"/>
              </w:rPr>
              <w:t>Volume, not feature count.</w:t>
            </w:r>
          </w:p>
        </w:tc>
      </w:tr>
    </w:tbl>
    <w:p>
      <w:pPr>
        <w:pStyle w:val="Heading2"/>
      </w:pPr>
      <w:r>
        <w:t>First 30 engineering days</w:t>
      </w:r>
    </w:p>
    <w:p>
      <w:pPr>
        <w:pStyle w:val="ListBullet"/>
        <w:spacing w:after="40"/>
      </w:pPr>
      <w:r>
        <w:t>Write architecture decision records for ledger, workflow engine, event model, idempotency and provider adapter contract.</w:t>
      </w:r>
    </w:p>
    <w:p>
      <w:pPr>
        <w:pStyle w:val="ListBullet"/>
        <w:spacing w:after="40"/>
      </w:pPr>
      <w:r>
        <w:t>Implement money/currency type and precision rules before business logic.</w:t>
      </w:r>
    </w:p>
    <w:p>
      <w:pPr>
        <w:pStyle w:val="ListBullet"/>
        <w:spacing w:after="40"/>
      </w:pPr>
      <w:r>
        <w:t>Build ledger + invariant/property tests.</w:t>
      </w:r>
    </w:p>
    <w:p>
      <w:pPr>
        <w:pStyle w:val="ListBullet"/>
        <w:spacing w:after="40"/>
      </w:pPr>
      <w:r>
        <w:t>Build provider simulator that can intentionally timeout, duplicate callbacks, reorder events and partially fail.</w:t>
      </w:r>
    </w:p>
    <w:p>
      <w:pPr>
        <w:pStyle w:val="ListBullet"/>
        <w:spacing w:after="40"/>
      </w:pPr>
      <w:r>
        <w:t>Implement trade lifecycle against simulator.</w:t>
      </w:r>
    </w:p>
    <w:p>
      <w:pPr>
        <w:pStyle w:val="ListBullet"/>
        <w:spacing w:after="40"/>
      </w:pPr>
      <w:r>
        <w:t>Add outbox/event publication pattern so database commits and events cannot drift.</w:t>
      </w:r>
    </w:p>
    <w:p>
      <w:pPr>
        <w:pStyle w:val="ListBullet"/>
        <w:spacing w:after="40"/>
      </w:pPr>
      <w:r>
        <w:t>Create operational timeline view before integrating real providers.</w:t>
      </w:r>
    </w:p>
    <w:p>
      <w:r>
        <w:br w:type="page"/>
      </w:r>
    </w:p>
    <w:p>
      <w:pPr>
        <w:pStyle w:val="OsaiMono"/>
      </w:pPr>
      <w:r>
        <w:t>14 / BREAK IT BEFORE MONEY DOES</w:t>
      </w:r>
    </w:p>
    <w:p>
      <w:pPr>
        <w:pStyle w:val="Heading1"/>
      </w:pPr>
      <w:r>
        <w:t>14. Testing strategy</w:t>
      </w:r>
    </w:p>
    <w:p>
      <w:pPr>
        <w:pStyle w:val="Heading2"/>
      </w:pPr>
      <w:r>
        <w:t>Mandatory test classes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01417"/>
            <w:tcMar>
              <w:top w:w="120" w:type="dxa"/>
              <w:start w:w="140" w:type="dxa"/>
              <w:bottom w:w="120" w:type="dxa"/>
              <w:end w:w="140" w:type="dxa"/>
            </w:tcMar>
          </w:tcPr>
          <w:p>
            <w:r>
              <w:rPr>
                <w:b/>
                <w:color w:val="F3F1EA"/>
                <w:sz w:val="15"/>
              </w:rPr>
              <w:t>TEST</w:t>
            </w:r>
          </w:p>
        </w:tc>
        <w:tc>
          <w:tcPr>
            <w:tcW w:type="dxa" w:w="8712"/>
            <w:shd w:fill="101417"/>
            <w:tcMar>
              <w:top w:w="120" w:type="dxa"/>
              <w:start w:w="140" w:type="dxa"/>
              <w:bottom w:w="120" w:type="dxa"/>
              <w:end w:w="140" w:type="dxa"/>
            </w:tcMar>
          </w:tcPr>
          <w:p>
            <w:r>
              <w:rPr>
                <w:b/>
                <w:color w:val="F3F1EA"/>
                <w:sz w:val="15"/>
              </w:rPr>
              <w:t>EXAMPLES</w:t>
            </w:r>
          </w:p>
        </w:tc>
      </w:tr>
      <w:tr>
        <w:tc>
          <w:tcPr>
            <w:tcW w:type="dxa" w:w="2232"/>
            <w:tcMar>
              <w:top w:w="120" w:type="dxa"/>
              <w:start w:w="140" w:type="dxa"/>
              <w:bottom w:w="120" w:type="dxa"/>
              <w:end w:w="140" w:type="dxa"/>
            </w:tcMar>
            <w:vAlign w:val="top"/>
          </w:tcPr>
          <w:p>
            <w:r>
              <w:rPr>
                <w:b/>
                <w:sz w:val="15"/>
              </w:rPr>
              <w:t>Unit</w:t>
            </w:r>
          </w:p>
        </w:tc>
        <w:tc>
          <w:tcPr>
            <w:tcW w:type="dxa" w:w="8712"/>
            <w:tcMar>
              <w:top w:w="120" w:type="dxa"/>
              <w:start w:w="140" w:type="dxa"/>
              <w:bottom w:w="120" w:type="dxa"/>
              <w:end w:w="140" w:type="dxa"/>
            </w:tcMar>
            <w:vAlign w:val="top"/>
          </w:tcPr>
          <w:p>
            <w:r>
              <w:rPr>
                <w:sz w:val="15"/>
              </w:rPr>
              <w:t>Pricing math, currency precision, policy rules, state transitions, ledger postings.</w:t>
            </w:r>
          </w:p>
        </w:tc>
      </w:tr>
      <w:tr>
        <w:tc>
          <w:tcPr>
            <w:tcW w:type="dxa" w:w="2232"/>
            <w:tcMar>
              <w:top w:w="120" w:type="dxa"/>
              <w:start w:w="140" w:type="dxa"/>
              <w:bottom w:w="120" w:type="dxa"/>
              <w:end w:w="140" w:type="dxa"/>
            </w:tcMar>
            <w:vAlign w:val="top"/>
          </w:tcPr>
          <w:p>
            <w:r>
              <w:rPr>
                <w:b/>
                <w:sz w:val="15"/>
              </w:rPr>
              <w:t>Property/invariant</w:t>
            </w:r>
          </w:p>
        </w:tc>
        <w:tc>
          <w:tcPr>
            <w:tcW w:type="dxa" w:w="8712"/>
            <w:tcMar>
              <w:top w:w="120" w:type="dxa"/>
              <w:start w:w="140" w:type="dxa"/>
              <w:bottom w:w="120" w:type="dxa"/>
              <w:end w:w="140" w:type="dxa"/>
            </w:tcMar>
            <w:vAlign w:val="top"/>
          </w:tcPr>
          <w:p>
            <w:r>
              <w:rPr>
                <w:sz w:val="15"/>
              </w:rPr>
              <w:t>Randomized journal sequences always balance; replay is deterministic; funds cannot appear from nowhere.</w:t>
            </w:r>
          </w:p>
        </w:tc>
      </w:tr>
      <w:tr>
        <w:tc>
          <w:tcPr>
            <w:tcW w:type="dxa" w:w="2232"/>
            <w:tcMar>
              <w:top w:w="120" w:type="dxa"/>
              <w:start w:w="140" w:type="dxa"/>
              <w:bottom w:w="120" w:type="dxa"/>
              <w:end w:w="140" w:type="dxa"/>
            </w:tcMar>
            <w:vAlign w:val="top"/>
          </w:tcPr>
          <w:p>
            <w:r>
              <w:rPr>
                <w:b/>
                <w:sz w:val="15"/>
              </w:rPr>
              <w:t>Contract</w:t>
            </w:r>
          </w:p>
        </w:tc>
        <w:tc>
          <w:tcPr>
            <w:tcW w:type="dxa" w:w="8712"/>
            <w:tcMar>
              <w:top w:w="120" w:type="dxa"/>
              <w:start w:w="140" w:type="dxa"/>
              <w:bottom w:w="120" w:type="dxa"/>
              <w:end w:w="140" w:type="dxa"/>
            </w:tcMar>
            <w:vAlign w:val="top"/>
          </w:tcPr>
          <w:p>
            <w:r>
              <w:rPr>
                <w:sz w:val="15"/>
              </w:rPr>
              <w:t>Each provider adapter passes common behaviour suite.</w:t>
            </w:r>
          </w:p>
        </w:tc>
      </w:tr>
      <w:tr>
        <w:tc>
          <w:tcPr>
            <w:tcW w:type="dxa" w:w="2232"/>
            <w:tcMar>
              <w:top w:w="120" w:type="dxa"/>
              <w:start w:w="140" w:type="dxa"/>
              <w:bottom w:w="120" w:type="dxa"/>
              <w:end w:w="140" w:type="dxa"/>
            </w:tcMar>
            <w:vAlign w:val="top"/>
          </w:tcPr>
          <w:p>
            <w:r>
              <w:rPr>
                <w:b/>
                <w:sz w:val="15"/>
              </w:rPr>
              <w:t>Integration</w:t>
            </w:r>
          </w:p>
        </w:tc>
        <w:tc>
          <w:tcPr>
            <w:tcW w:type="dxa" w:w="8712"/>
            <w:tcMar>
              <w:top w:w="120" w:type="dxa"/>
              <w:start w:w="140" w:type="dxa"/>
              <w:bottom w:w="120" w:type="dxa"/>
              <w:end w:w="140" w:type="dxa"/>
            </w:tcMar>
            <w:vAlign w:val="top"/>
          </w:tcPr>
          <w:p>
            <w:r>
              <w:rPr>
                <w:sz w:val="15"/>
              </w:rPr>
              <w:t>Database + workflow + queue + provider simulator.</w:t>
            </w:r>
          </w:p>
        </w:tc>
      </w:tr>
      <w:tr>
        <w:tc>
          <w:tcPr>
            <w:tcW w:type="dxa" w:w="2232"/>
            <w:tcMar>
              <w:top w:w="120" w:type="dxa"/>
              <w:start w:w="140" w:type="dxa"/>
              <w:bottom w:w="120" w:type="dxa"/>
              <w:end w:w="140" w:type="dxa"/>
            </w:tcMar>
            <w:vAlign w:val="top"/>
          </w:tcPr>
          <w:p>
            <w:r>
              <w:rPr>
                <w:b/>
                <w:sz w:val="15"/>
              </w:rPr>
              <w:t>Failure injection</w:t>
            </w:r>
          </w:p>
        </w:tc>
        <w:tc>
          <w:tcPr>
            <w:tcW w:type="dxa" w:w="8712"/>
            <w:tcMar>
              <w:top w:w="120" w:type="dxa"/>
              <w:start w:w="140" w:type="dxa"/>
              <w:bottom w:w="120" w:type="dxa"/>
              <w:end w:w="140" w:type="dxa"/>
            </w:tcMar>
            <w:vAlign w:val="top"/>
          </w:tcPr>
          <w:p>
            <w:r>
              <w:rPr>
                <w:sz w:val="15"/>
              </w:rPr>
              <w:t>Timeout after provider acceptance, duplicate callbacks, callback before API response, partial outage, stale quote, delayed statement.</w:t>
            </w:r>
          </w:p>
        </w:tc>
      </w:tr>
      <w:tr>
        <w:tc>
          <w:tcPr>
            <w:tcW w:type="dxa" w:w="2232"/>
            <w:tcMar>
              <w:top w:w="120" w:type="dxa"/>
              <w:start w:w="140" w:type="dxa"/>
              <w:bottom w:w="120" w:type="dxa"/>
              <w:end w:w="140" w:type="dxa"/>
            </w:tcMar>
            <w:vAlign w:val="top"/>
          </w:tcPr>
          <w:p>
            <w:r>
              <w:rPr>
                <w:b/>
                <w:sz w:val="15"/>
              </w:rPr>
              <w:t>Reconciliation</w:t>
            </w:r>
          </w:p>
        </w:tc>
        <w:tc>
          <w:tcPr>
            <w:tcW w:type="dxa" w:w="8712"/>
            <w:tcMar>
              <w:top w:w="120" w:type="dxa"/>
              <w:start w:w="140" w:type="dxa"/>
              <w:bottom w:w="120" w:type="dxa"/>
              <w:end w:w="140" w:type="dxa"/>
            </w:tcMar>
            <w:vAlign w:val="top"/>
          </w:tcPr>
          <w:p>
            <w:r>
              <w:rPr>
                <w:sz w:val="15"/>
              </w:rPr>
              <w:t>Missing, duplicate, mismatched and late external records.</w:t>
            </w:r>
          </w:p>
        </w:tc>
      </w:tr>
      <w:tr>
        <w:tc>
          <w:tcPr>
            <w:tcW w:type="dxa" w:w="2232"/>
            <w:tcMar>
              <w:top w:w="120" w:type="dxa"/>
              <w:start w:w="140" w:type="dxa"/>
              <w:bottom w:w="120" w:type="dxa"/>
              <w:end w:w="140" w:type="dxa"/>
            </w:tcMar>
            <w:vAlign w:val="top"/>
          </w:tcPr>
          <w:p>
            <w:r>
              <w:rPr>
                <w:b/>
                <w:sz w:val="15"/>
              </w:rPr>
              <w:t>Security</w:t>
            </w:r>
          </w:p>
        </w:tc>
        <w:tc>
          <w:tcPr>
            <w:tcW w:type="dxa" w:w="8712"/>
            <w:tcMar>
              <w:top w:w="120" w:type="dxa"/>
              <w:start w:w="140" w:type="dxa"/>
              <w:bottom w:w="120" w:type="dxa"/>
              <w:end w:w="140" w:type="dxa"/>
            </w:tcMar>
            <w:vAlign w:val="top"/>
          </w:tcPr>
          <w:p>
            <w:r>
              <w:rPr>
                <w:sz w:val="15"/>
              </w:rPr>
              <w:t>Authz bypass, replay, webhook forgery, SSRF around provider URLs, SQLi, secret leakage, privilege escalation.</w:t>
            </w:r>
          </w:p>
        </w:tc>
      </w:tr>
      <w:tr>
        <w:tc>
          <w:tcPr>
            <w:tcW w:type="dxa" w:w="2232"/>
            <w:tcMar>
              <w:top w:w="120" w:type="dxa"/>
              <w:start w:w="140" w:type="dxa"/>
              <w:bottom w:w="120" w:type="dxa"/>
              <w:end w:w="140" w:type="dxa"/>
            </w:tcMar>
            <w:vAlign w:val="top"/>
          </w:tcPr>
          <w:p>
            <w:r>
              <w:rPr>
                <w:b/>
                <w:sz w:val="15"/>
              </w:rPr>
              <w:t>Load</w:t>
            </w:r>
          </w:p>
        </w:tc>
        <w:tc>
          <w:tcPr>
            <w:tcW w:type="dxa" w:w="8712"/>
            <w:tcMar>
              <w:top w:w="120" w:type="dxa"/>
              <w:start w:w="140" w:type="dxa"/>
              <w:bottom w:w="120" w:type="dxa"/>
              <w:end w:w="140" w:type="dxa"/>
            </w:tcMar>
            <w:vAlign w:val="top"/>
          </w:tcPr>
          <w:p>
            <w:r>
              <w:rPr>
                <w:sz w:val="15"/>
              </w:rPr>
              <w:t>Quote bursts, callback bursts, reconciliation files, concurrent trade acceptance.</w:t>
            </w:r>
          </w:p>
        </w:tc>
      </w:tr>
      <w:tr>
        <w:tc>
          <w:tcPr>
            <w:tcW w:type="dxa" w:w="2232"/>
            <w:tcMar>
              <w:top w:w="120" w:type="dxa"/>
              <w:start w:w="140" w:type="dxa"/>
              <w:bottom w:w="120" w:type="dxa"/>
              <w:end w:w="140" w:type="dxa"/>
            </w:tcMar>
            <w:vAlign w:val="top"/>
          </w:tcPr>
          <w:p>
            <w:r>
              <w:rPr>
                <w:b/>
                <w:sz w:val="15"/>
              </w:rPr>
              <w:t>Recovery</w:t>
            </w:r>
          </w:p>
        </w:tc>
        <w:tc>
          <w:tcPr>
            <w:tcW w:type="dxa" w:w="8712"/>
            <w:tcMar>
              <w:top w:w="120" w:type="dxa"/>
              <w:start w:w="140" w:type="dxa"/>
              <w:bottom w:w="120" w:type="dxa"/>
              <w:end w:w="140" w:type="dxa"/>
            </w:tcMar>
            <w:vAlign w:val="top"/>
          </w:tcPr>
          <w:p>
            <w:r>
              <w:rPr>
                <w:sz w:val="15"/>
              </w:rPr>
              <w:t>Restore database backup; replay workflows/events; rebuild balances/read models.</w:t>
            </w:r>
          </w:p>
        </w:tc>
      </w:tr>
    </w:tbl>
    <w:p>
      <w:pPr>
        <w:pStyle w:val="Heading2"/>
      </w:pPr>
      <w:r>
        <w:t>Golden scenarios</w:t>
      </w:r>
    </w:p>
    <w:p>
      <w:r>
        <w:t>Maintain a versioned suite of canonical financial scenarios whose expected ledger entries and state timelines are reviewed by engineering + finance/operations. Any change to ledger economics must update these fixtures intentionally.</w:t>
      </w:r>
    </w:p>
    <w:p>
      <w:r>
        <w:br w:type="page"/>
      </w:r>
    </w:p>
    <w:p>
      <w:pPr>
        <w:pStyle w:val="OsaiMono"/>
      </w:pPr>
      <w:r>
        <w:t>15 / ACCEPTANCE GATE</w:t>
      </w:r>
    </w:p>
    <w:p>
      <w:pPr>
        <w:pStyle w:val="Heading1"/>
      </w:pPr>
      <w:r>
        <w:t>15. Definition of done for V1</w:t>
      </w:r>
    </w:p>
    <w:p>
      <w:r>
        <w:t>V1 is not complete because the endpoints exist. It is complete when Osai can safely explain every unit of money before, during and after an institutional trade.</w:t>
      </w:r>
    </w:p>
    <w:p>
      <w:r>
        <w:rPr>
          <w:color w:val="3157FF"/>
        </w:rPr>
        <w:t xml:space="preserve">☐  </w:t>
      </w:r>
      <w:r>
        <w:t>Customer onboarding and API authentication are production-safe.</w:t>
      </w:r>
    </w:p>
    <w:p>
      <w:r>
        <w:rPr>
          <w:color w:val="3157FF"/>
        </w:rPr>
        <w:t xml:space="preserve">☐  </w:t>
      </w:r>
      <w:r>
        <w:t>Quote creation and acceptance are idempotent and auditable.</w:t>
      </w:r>
    </w:p>
    <w:p>
      <w:r>
        <w:rPr>
          <w:color w:val="3157FF"/>
        </w:rPr>
        <w:t xml:space="preserve">☐  </w:t>
      </w:r>
      <w:r>
        <w:t>At least one real/sandbox liquidity adapter and one settlement adapter work through the normalized contracts.</w:t>
      </w:r>
    </w:p>
    <w:p>
      <w:r>
        <w:rPr>
          <w:color w:val="3157FF"/>
        </w:rPr>
        <w:t xml:space="preserve">☐  </w:t>
      </w:r>
      <w:r>
        <w:t>Durable trade workflow recovers after process restart and duplicate events.</w:t>
      </w:r>
    </w:p>
    <w:p>
      <w:r>
        <w:rPr>
          <w:color w:val="3157FF"/>
        </w:rPr>
        <w:t xml:space="preserve">☐  </w:t>
      </w:r>
      <w:r>
        <w:t>Double-entry ledger is the authoritative financial record and all invariants are enforced.</w:t>
      </w:r>
    </w:p>
    <w:p>
      <w:r>
        <w:rPr>
          <w:color w:val="3157FF"/>
        </w:rPr>
        <w:t xml:space="preserve">☐  </w:t>
      </w:r>
      <w:r>
        <w:t>Reconciliation can ingest partner evidence and identify breaks without spreadsheet-only logic.</w:t>
      </w:r>
    </w:p>
    <w:p>
      <w:r>
        <w:rPr>
          <w:color w:val="3157FF"/>
        </w:rPr>
        <w:t xml:space="preserve">☐  </w:t>
      </w:r>
      <w:r>
        <w:t>Customer webhooks are signed, retryable and replayable.</w:t>
      </w:r>
    </w:p>
    <w:p>
      <w:r>
        <w:rPr>
          <w:color w:val="3157FF"/>
        </w:rPr>
        <w:t xml:space="preserve">☐  </w:t>
      </w:r>
      <w:r>
        <w:t>Ops console exposes trade timeline, unknown states, approvals and reconciliation breaks.</w:t>
      </w:r>
    </w:p>
    <w:p>
      <w:r>
        <w:rPr>
          <w:color w:val="3157FF"/>
        </w:rPr>
        <w:t xml:space="preserve">☐  </w:t>
      </w:r>
      <w:r>
        <w:t>Security review completed for secrets, authz, webhooks, provider integrations and production access.</w:t>
      </w:r>
    </w:p>
    <w:p>
      <w:r>
        <w:rPr>
          <w:color w:val="3157FF"/>
        </w:rPr>
        <w:t xml:space="preserve">☐  </w:t>
      </w:r>
      <w:r>
        <w:t>Backup restoration and incident runbooks have been tested.</w:t>
      </w:r>
    </w:p>
    <w:p>
      <w:r>
        <w:rPr>
          <w:color w:val="3157FF"/>
        </w:rPr>
        <w:t xml:space="preserve">☐  </w:t>
      </w:r>
      <w:r>
        <w:t>Observability links one correlation ID across the full trade lifecycle.</w:t>
      </w:r>
    </w:p>
    <w:p>
      <w:r>
        <w:rPr>
          <w:color w:val="3157FF"/>
        </w:rPr>
        <w:t xml:space="preserve">☐  </w:t>
      </w:r>
      <w:r>
        <w:t>Engineering documentation includes architecture diagram, ADRs, API spec, schema docs, runbooks and provider integration guide.</w:t>
      </w:r>
    </w:p>
    <w:p>
      <w:pPr>
        <w:pStyle w:val="Heading2"/>
      </w:pPr>
      <w:r>
        <w:t>The engineering north star</w:t>
      </w:r>
    </w:p>
    <w:p>
      <w:r>
        <w:t>Do not optimize for the number of integrations. Optimize for trust. A financial institution should be able to ask: “Where is my money, what happened to it, what is final, what did it cost, and can you prove it?” Osai must answer those questions from system state, not from Slack messages or operator memory.</w:t>
      </w:r>
    </w:p>
    <w:p>
      <w:pPr>
        <w:pStyle w:val="Heading2"/>
      </w:pPr>
      <w:r>
        <w:t>One-line architecture principle</w:t>
      </w:r>
    </w:p>
    <w:p>
      <w:r>
        <w:rPr>
          <w:b/>
          <w:color w:val="3157FF"/>
          <w:sz w:val="28"/>
        </w:rPr>
        <w:t>One instruction in. One financial truth inside. Many rails underneath. One provable settlement outcome out.</w:t>
      </w:r>
    </w:p>
    <w:p>
      <w:r>
        <w:br w:type="page"/>
      </w:r>
    </w:p>
    <w:p>
      <w:pPr>
        <w:pStyle w:val="OsaiMono"/>
      </w:pPr>
      <w:r>
        <w:t>APPENDIX / BUILD RULES</w:t>
      </w:r>
    </w:p>
    <w:p>
      <w:pPr>
        <w:pStyle w:val="Heading1"/>
      </w:pPr>
      <w:r>
        <w:t>Appendix A. Engineering conventions</w:t>
      </w:r>
    </w:p>
    <w:p>
      <w:pPr>
        <w:pStyle w:val="ListBullet"/>
        <w:spacing w:after="40"/>
      </w:pPr>
      <w:r>
        <w:t>All IDs are opaque, globally unique and non-sequential externally.</w:t>
      </w:r>
    </w:p>
    <w:p>
      <w:pPr>
        <w:pStyle w:val="ListBullet"/>
        <w:spacing w:after="40"/>
      </w:pPr>
      <w:r>
        <w:t>All timestamps UTC in storage; timezone conversion only at presentation boundaries.</w:t>
      </w:r>
    </w:p>
    <w:p>
      <w:pPr>
        <w:pStyle w:val="ListBullet"/>
        <w:spacing w:after="40"/>
      </w:pPr>
      <w:r>
        <w:t>All monetary APIs carry explicit ISO currency and exact amount representation.</w:t>
      </w:r>
    </w:p>
    <w:p>
      <w:pPr>
        <w:pStyle w:val="ListBullet"/>
        <w:spacing w:after="40"/>
      </w:pPr>
      <w:r>
        <w:t>Every state transition records reason, actor/source, timestamp and correlation ID.</w:t>
      </w:r>
    </w:p>
    <w:p>
      <w:pPr>
        <w:pStyle w:val="ListBullet"/>
        <w:spacing w:after="40"/>
      </w:pPr>
      <w:r>
        <w:t>Provider errors are mapped to normalized internal error classes while raw evidence is retained securely.</w:t>
      </w:r>
    </w:p>
    <w:p>
      <w:pPr>
        <w:pStyle w:val="ListBullet"/>
        <w:spacing w:after="40"/>
      </w:pPr>
      <w:r>
        <w:t>No business-critical logic exists only in scheduled cron scripts without ownership and observability.</w:t>
      </w:r>
    </w:p>
    <w:p>
      <w:pPr>
        <w:pStyle w:val="ListBullet"/>
        <w:spacing w:after="40"/>
      </w:pPr>
      <w:r>
        <w:t>Database constraints enforce invariants wherever possible; application checks alone are insufficient.</w:t>
      </w:r>
    </w:p>
    <w:p>
      <w:pPr>
        <w:pStyle w:val="ListBullet"/>
        <w:spacing w:after="40"/>
      </w:pPr>
      <w:r>
        <w:t>Use transactional outbox for reliable event publication from core transactional changes.</w:t>
      </w:r>
    </w:p>
    <w:p>
      <w:pPr>
        <w:pStyle w:val="ListBullet"/>
        <w:spacing w:after="40"/>
      </w:pPr>
      <w:r>
        <w:t>Feature flags for provider/corridor rollout and kill switches for degraded rails.</w:t>
      </w:r>
    </w:p>
    <w:p>
      <w:pPr>
        <w:pStyle w:val="ListBullet"/>
        <w:spacing w:after="40"/>
      </w:pPr>
      <w:r>
        <w:t>Never log full secrets, private keys, sensitive bank credentials or unnecessary PII.</w:t>
      </w:r>
    </w:p>
    <w:p>
      <w:pPr>
        <w:pStyle w:val="Heading2"/>
      </w:pPr>
      <w:r>
        <w:t>Appendix B. Open decisions for architect + founder</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880"/>
            <w:shd w:fill="101417"/>
            <w:tcMar>
              <w:top w:w="120" w:type="dxa"/>
              <w:start w:w="140" w:type="dxa"/>
              <w:bottom w:w="120" w:type="dxa"/>
              <w:end w:w="140" w:type="dxa"/>
            </w:tcMar>
          </w:tcPr>
          <w:p>
            <w:r>
              <w:rPr>
                <w:b/>
                <w:color w:val="F3F1EA"/>
                <w:sz w:val="15"/>
              </w:rPr>
              <w:t>DECISION</w:t>
            </w:r>
          </w:p>
        </w:tc>
        <w:tc>
          <w:tcPr>
            <w:tcW w:type="dxa" w:w="8064"/>
            <w:shd w:fill="101417"/>
            <w:tcMar>
              <w:top w:w="120" w:type="dxa"/>
              <w:start w:w="140" w:type="dxa"/>
              <w:bottom w:w="120" w:type="dxa"/>
              <w:end w:w="140" w:type="dxa"/>
            </w:tcMar>
          </w:tcPr>
          <w:p>
            <w:r>
              <w:rPr>
                <w:b/>
                <w:color w:val="F3F1EA"/>
                <w:sz w:val="15"/>
              </w:rPr>
              <w:t>QUESTION TO RESOLVE</w:t>
            </w:r>
          </w:p>
        </w:tc>
      </w:tr>
      <w:tr>
        <w:tc>
          <w:tcPr>
            <w:tcW w:type="dxa" w:w="2880"/>
            <w:tcMar>
              <w:top w:w="120" w:type="dxa"/>
              <w:start w:w="140" w:type="dxa"/>
              <w:bottom w:w="120" w:type="dxa"/>
              <w:end w:w="140" w:type="dxa"/>
            </w:tcMar>
            <w:vAlign w:val="top"/>
          </w:tcPr>
          <w:p>
            <w:r>
              <w:rPr>
                <w:b/>
                <w:sz w:val="15"/>
              </w:rPr>
              <w:t>Custody model</w:t>
            </w:r>
          </w:p>
        </w:tc>
        <w:tc>
          <w:tcPr>
            <w:tcW w:type="dxa" w:w="8064"/>
            <w:tcMar>
              <w:top w:w="120" w:type="dxa"/>
              <w:start w:w="140" w:type="dxa"/>
              <w:bottom w:w="120" w:type="dxa"/>
              <w:end w:w="140" w:type="dxa"/>
            </w:tcMar>
            <w:vAlign w:val="top"/>
          </w:tcPr>
          <w:p>
            <w:r>
              <w:rPr>
                <w:sz w:val="15"/>
              </w:rPr>
              <w:t>Does Osai ever hold client funds directly in V1, or only orchestrate partner-held balances?</w:t>
            </w:r>
          </w:p>
        </w:tc>
      </w:tr>
      <w:tr>
        <w:tc>
          <w:tcPr>
            <w:tcW w:type="dxa" w:w="2880"/>
            <w:tcMar>
              <w:top w:w="120" w:type="dxa"/>
              <w:start w:w="140" w:type="dxa"/>
              <w:bottom w:w="120" w:type="dxa"/>
              <w:end w:w="140" w:type="dxa"/>
            </w:tcMar>
            <w:vAlign w:val="top"/>
          </w:tcPr>
          <w:p>
            <w:r>
              <w:rPr>
                <w:b/>
                <w:sz w:val="15"/>
              </w:rPr>
              <w:t>Funding model</w:t>
            </w:r>
          </w:p>
        </w:tc>
        <w:tc>
          <w:tcPr>
            <w:tcW w:type="dxa" w:w="8064"/>
            <w:tcMar>
              <w:top w:w="120" w:type="dxa"/>
              <w:start w:w="140" w:type="dxa"/>
              <w:bottom w:w="120" w:type="dxa"/>
              <w:end w:w="140" w:type="dxa"/>
            </w:tcMar>
            <w:vAlign w:val="top"/>
          </w:tcPr>
          <w:p>
            <w:r>
              <w:rPr>
                <w:sz w:val="15"/>
              </w:rPr>
              <w:t>Strict prefund only, or can named customers use approved credit/limits later?</w:t>
            </w:r>
          </w:p>
        </w:tc>
      </w:tr>
      <w:tr>
        <w:tc>
          <w:tcPr>
            <w:tcW w:type="dxa" w:w="2880"/>
            <w:tcMar>
              <w:top w:w="120" w:type="dxa"/>
              <w:start w:w="140" w:type="dxa"/>
              <w:bottom w:w="120" w:type="dxa"/>
              <w:end w:w="140" w:type="dxa"/>
            </w:tcMar>
            <w:vAlign w:val="top"/>
          </w:tcPr>
          <w:p>
            <w:r>
              <w:rPr>
                <w:b/>
                <w:sz w:val="15"/>
              </w:rPr>
              <w:t>First corridor</w:t>
            </w:r>
          </w:p>
        </w:tc>
        <w:tc>
          <w:tcPr>
            <w:tcW w:type="dxa" w:w="8064"/>
            <w:tcMar>
              <w:top w:w="120" w:type="dxa"/>
              <w:start w:w="140" w:type="dxa"/>
              <w:bottom w:w="120" w:type="dxa"/>
              <w:end w:w="140" w:type="dxa"/>
            </w:tcMar>
            <w:vAlign w:val="top"/>
          </w:tcPr>
          <w:p>
            <w:r>
              <w:rPr>
                <w:sz w:val="15"/>
              </w:rPr>
              <w:t>Exact NGN/USD or other launch pair and settlement destinations.</w:t>
            </w:r>
          </w:p>
        </w:tc>
      </w:tr>
      <w:tr>
        <w:tc>
          <w:tcPr>
            <w:tcW w:type="dxa" w:w="2880"/>
            <w:tcMar>
              <w:top w:w="120" w:type="dxa"/>
              <w:start w:w="140" w:type="dxa"/>
              <w:bottom w:w="120" w:type="dxa"/>
              <w:end w:w="140" w:type="dxa"/>
            </w:tcMar>
            <w:vAlign w:val="top"/>
          </w:tcPr>
          <w:p>
            <w:r>
              <w:rPr>
                <w:b/>
                <w:sz w:val="15"/>
              </w:rPr>
              <w:t>First providers</w:t>
            </w:r>
          </w:p>
        </w:tc>
        <w:tc>
          <w:tcPr>
            <w:tcW w:type="dxa" w:w="8064"/>
            <w:tcMar>
              <w:top w:w="120" w:type="dxa"/>
              <w:start w:w="140" w:type="dxa"/>
              <w:bottom w:w="120" w:type="dxa"/>
              <w:end w:w="140" w:type="dxa"/>
            </w:tcMar>
            <w:vAlign w:val="top"/>
          </w:tcPr>
          <w:p>
            <w:r>
              <w:rPr>
                <w:sz w:val="15"/>
              </w:rPr>
              <w:t>Which authorised bank/LP/VASP/PSP will be integrated first?</w:t>
            </w:r>
          </w:p>
        </w:tc>
      </w:tr>
      <w:tr>
        <w:tc>
          <w:tcPr>
            <w:tcW w:type="dxa" w:w="2880"/>
            <w:tcMar>
              <w:top w:w="120" w:type="dxa"/>
              <w:start w:w="140" w:type="dxa"/>
              <w:bottom w:w="120" w:type="dxa"/>
              <w:end w:w="140" w:type="dxa"/>
            </w:tcMar>
            <w:vAlign w:val="top"/>
          </w:tcPr>
          <w:p>
            <w:r>
              <w:rPr>
                <w:b/>
                <w:sz w:val="15"/>
              </w:rPr>
              <w:t>Quote model</w:t>
            </w:r>
          </w:p>
        </w:tc>
        <w:tc>
          <w:tcPr>
            <w:tcW w:type="dxa" w:w="8064"/>
            <w:tcMar>
              <w:top w:w="120" w:type="dxa"/>
              <w:start w:w="140" w:type="dxa"/>
              <w:bottom w:w="120" w:type="dxa"/>
              <w:end w:w="140" w:type="dxa"/>
            </w:tcMar>
            <w:vAlign w:val="top"/>
          </w:tcPr>
          <w:p>
            <w:r>
              <w:rPr>
                <w:sz w:val="15"/>
              </w:rPr>
              <w:t>Principal vs agency/execution fee model; which economics are disclosed?</w:t>
            </w:r>
          </w:p>
        </w:tc>
      </w:tr>
      <w:tr>
        <w:tc>
          <w:tcPr>
            <w:tcW w:type="dxa" w:w="2880"/>
            <w:tcMar>
              <w:top w:w="120" w:type="dxa"/>
              <w:start w:w="140" w:type="dxa"/>
              <w:bottom w:w="120" w:type="dxa"/>
              <w:end w:w="140" w:type="dxa"/>
            </w:tcMar>
            <w:vAlign w:val="top"/>
          </w:tcPr>
          <w:p>
            <w:r>
              <w:rPr>
                <w:b/>
                <w:sz w:val="15"/>
              </w:rPr>
              <w:t>Settlement finality</w:t>
            </w:r>
          </w:p>
        </w:tc>
        <w:tc>
          <w:tcPr>
            <w:tcW w:type="dxa" w:w="8064"/>
            <w:tcMar>
              <w:top w:w="120" w:type="dxa"/>
              <w:start w:w="140" w:type="dxa"/>
              <w:bottom w:w="120" w:type="dxa"/>
              <w:end w:w="140" w:type="dxa"/>
            </w:tcMar>
            <w:vAlign w:val="top"/>
          </w:tcPr>
          <w:p>
            <w:r>
              <w:rPr>
                <w:sz w:val="15"/>
              </w:rPr>
              <w:t>What evidence legally/operationally constitutes final settlement for each rail?</w:t>
            </w:r>
          </w:p>
        </w:tc>
      </w:tr>
      <w:tr>
        <w:tc>
          <w:tcPr>
            <w:tcW w:type="dxa" w:w="2880"/>
            <w:tcMar>
              <w:top w:w="120" w:type="dxa"/>
              <w:start w:w="140" w:type="dxa"/>
              <w:bottom w:w="120" w:type="dxa"/>
              <w:end w:w="140" w:type="dxa"/>
            </w:tcMar>
            <w:vAlign w:val="top"/>
          </w:tcPr>
          <w:p>
            <w:r>
              <w:rPr>
                <w:b/>
                <w:sz w:val="15"/>
              </w:rPr>
              <w:t>Compliance ownership</w:t>
            </w:r>
          </w:p>
        </w:tc>
        <w:tc>
          <w:tcPr>
            <w:tcW w:type="dxa" w:w="8064"/>
            <w:tcMar>
              <w:top w:w="120" w:type="dxa"/>
              <w:start w:w="140" w:type="dxa"/>
              <w:bottom w:w="120" w:type="dxa"/>
              <w:end w:w="140" w:type="dxa"/>
            </w:tcMar>
            <w:vAlign w:val="top"/>
          </w:tcPr>
          <w:p>
            <w:r>
              <w:rPr>
                <w:sz w:val="15"/>
              </w:rPr>
              <w:t>Which checks are Osai-run vs partner-run; who can block/release a trade?</w:t>
            </w:r>
          </w:p>
        </w:tc>
      </w:tr>
      <w:tr>
        <w:tc>
          <w:tcPr>
            <w:tcW w:type="dxa" w:w="2880"/>
            <w:tcMar>
              <w:top w:w="120" w:type="dxa"/>
              <w:start w:w="140" w:type="dxa"/>
              <w:bottom w:w="120" w:type="dxa"/>
              <w:end w:w="140" w:type="dxa"/>
            </w:tcMar>
            <w:vAlign w:val="top"/>
          </w:tcPr>
          <w:p>
            <w:r>
              <w:rPr>
                <w:b/>
                <w:sz w:val="15"/>
              </w:rPr>
              <w:t>Stablecoin scope</w:t>
            </w:r>
          </w:p>
        </w:tc>
        <w:tc>
          <w:tcPr>
            <w:tcW w:type="dxa" w:w="8064"/>
            <w:tcMar>
              <w:top w:w="120" w:type="dxa"/>
              <w:start w:w="140" w:type="dxa"/>
              <w:bottom w:w="120" w:type="dxa"/>
              <w:end w:w="140" w:type="dxa"/>
            </w:tcMar>
            <w:vAlign w:val="top"/>
          </w:tcPr>
          <w:p>
            <w:r>
              <w:rPr>
                <w:sz w:val="15"/>
              </w:rPr>
              <w:t>Transport rail only in V1, or customer-visible balances later?</w:t>
            </w:r>
          </w:p>
        </w:tc>
      </w:tr>
      <w:tr>
        <w:tc>
          <w:tcPr>
            <w:tcW w:type="dxa" w:w="2880"/>
            <w:tcMar>
              <w:top w:w="120" w:type="dxa"/>
              <w:start w:w="140" w:type="dxa"/>
              <w:bottom w:w="120" w:type="dxa"/>
              <w:end w:w="140" w:type="dxa"/>
            </w:tcMar>
            <w:vAlign w:val="top"/>
          </w:tcPr>
          <w:p>
            <w:r>
              <w:rPr>
                <w:b/>
                <w:sz w:val="15"/>
              </w:rPr>
              <w:t>Data residency</w:t>
            </w:r>
          </w:p>
        </w:tc>
        <w:tc>
          <w:tcPr>
            <w:tcW w:type="dxa" w:w="8064"/>
            <w:tcMar>
              <w:top w:w="120" w:type="dxa"/>
              <w:start w:w="140" w:type="dxa"/>
              <w:bottom w:w="120" w:type="dxa"/>
              <w:end w:w="140" w:type="dxa"/>
            </w:tcMar>
            <w:vAlign w:val="top"/>
          </w:tcPr>
          <w:p>
            <w:r>
              <w:rPr>
                <w:sz w:val="15"/>
              </w:rPr>
              <w:t>Any jurisdiction/provider constraints for customer and financial data?</w:t>
            </w:r>
          </w:p>
        </w:tc>
      </w:tr>
      <w:tr>
        <w:tc>
          <w:tcPr>
            <w:tcW w:type="dxa" w:w="2880"/>
            <w:tcMar>
              <w:top w:w="120" w:type="dxa"/>
              <w:start w:w="140" w:type="dxa"/>
              <w:bottom w:w="120" w:type="dxa"/>
              <w:end w:w="140" w:type="dxa"/>
            </w:tcMar>
            <w:vAlign w:val="top"/>
          </w:tcPr>
          <w:p>
            <w:r>
              <w:rPr>
                <w:b/>
                <w:sz w:val="15"/>
              </w:rPr>
              <w:t>Production readiness</w:t>
            </w:r>
          </w:p>
        </w:tc>
        <w:tc>
          <w:tcPr>
            <w:tcW w:type="dxa" w:w="8064"/>
            <w:tcMar>
              <w:top w:w="120" w:type="dxa"/>
              <w:start w:w="140" w:type="dxa"/>
              <w:bottom w:w="120" w:type="dxa"/>
              <w:end w:w="140" w:type="dxa"/>
            </w:tcMar>
            <w:vAlign w:val="top"/>
          </w:tcPr>
          <w:p>
            <w:r>
              <w:rPr>
                <w:sz w:val="15"/>
              </w:rPr>
              <w:t>Required certification/audit expectations from design partners/banks before live money?</w:t>
            </w:r>
          </w:p>
        </w:tc>
      </w:tr>
    </w:tbl>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olas" w:hAnsi="Consolas"/>
        <w:color w:val="626A73"/>
        <w:sz w:val="14"/>
      </w:rPr>
      <w:t xml:space="preserve">OSAI   •   INSTITUTIONAL FX + SETTLEMENT INFRASTRUCTURE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onsolas" w:hAnsi="Consolas"/>
        <w:color w:val="626A73"/>
        <w:sz w:val="14"/>
      </w:rPr>
      <w:t>OSAI / TECHNICAL HANDOFF 001   •   CONFIDENTIAL   •   2026.09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0141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1417"/>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157F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0141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01417"/>
      <w:spacing w:val="5"/>
      <w:kern w:val="28"/>
      <w:sz w:val="6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saiMono">
    <w:name w:val="Osai Mono"/>
    <w:pPr>
      <w:spacing w:after="40"/>
    </w:pPr>
    <w:rPr>
      <w:rFonts w:ascii="Consolas" w:hAnsi="Consolas"/>
      <w:color w:val="626A7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Osai Technical Handoff — System Architecture &amp; Backend</dc:title>
  <dc:subject>Engineering build brief for institutional FX and settlement infrastructure</dc:subject>
  <dc:creator>Osai</dc:creator>
  <cp:keywords>Osai, FX, settlement, ledger, reconciliation, backend, architecture</cp:keywords>
  <dc:description>generated by python-docx</dc:description>
  <cp:lastModifiedBy/>
  <cp:revision>1</cp:revision>
  <dcterms:created xsi:type="dcterms:W3CDTF">2013-12-23T23:15:00Z</dcterms:created>
  <dcterms:modified xsi:type="dcterms:W3CDTF">2013-12-23T23:15:00Z</dcterms:modified>
  <cp:category/>
</cp:coreProperties>
</file>