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B91D1" w14:textId="77777777" w:rsidR="0005757C" w:rsidRPr="00720C11" w:rsidRDefault="00720C11">
      <w:pPr>
        <w:rPr>
          <w:sz w:val="20"/>
          <w:szCs w:val="20"/>
          <w:lang w:val="en-US"/>
        </w:rPr>
      </w:pPr>
      <w:r w:rsidRPr="00720C11">
        <w:rPr>
          <w:sz w:val="20"/>
          <w:szCs w:val="20"/>
          <w:lang w:val="en-US"/>
        </w:rPr>
        <w:t>Trend Following</w:t>
      </w:r>
    </w:p>
    <w:p w14:paraId="6865C2F5" w14:textId="77777777" w:rsidR="00720C11" w:rsidRPr="00720C11" w:rsidRDefault="00720C11">
      <w:pPr>
        <w:rPr>
          <w:sz w:val="20"/>
          <w:szCs w:val="20"/>
          <w:lang w:val="en-US"/>
        </w:rPr>
      </w:pPr>
      <w:r w:rsidRPr="00720C11">
        <w:rPr>
          <w:sz w:val="20"/>
          <w:szCs w:val="20"/>
          <w:lang w:val="en-US"/>
        </w:rPr>
        <w:t>King Wong</w:t>
      </w:r>
    </w:p>
    <w:p w14:paraId="22F52E83" w14:textId="77777777" w:rsidR="00720C11" w:rsidRPr="00720C11" w:rsidRDefault="00720C11">
      <w:pPr>
        <w:rPr>
          <w:sz w:val="20"/>
          <w:szCs w:val="20"/>
          <w:lang w:val="en-US"/>
        </w:rPr>
      </w:pPr>
    </w:p>
    <w:p w14:paraId="33061495" w14:textId="77777777" w:rsidR="00720C11" w:rsidRDefault="00720C11" w:rsidP="00720C11">
      <w:pPr>
        <w:rPr>
          <w:sz w:val="20"/>
          <w:szCs w:val="20"/>
          <w:lang w:val="en-US"/>
        </w:rPr>
      </w:pPr>
      <w:r w:rsidRPr="00720C11">
        <w:rPr>
          <w:sz w:val="20"/>
          <w:szCs w:val="20"/>
          <w:lang w:val="en-US"/>
        </w:rPr>
        <w:t xml:space="preserve">Web </w:t>
      </w:r>
      <w:r>
        <w:rPr>
          <w:sz w:val="20"/>
          <w:szCs w:val="20"/>
          <w:lang w:val="en-US"/>
        </w:rPr>
        <w:t>Scraping Stoxx600</w:t>
      </w:r>
    </w:p>
    <w:p w14:paraId="0B506C6D" w14:textId="2DD1DABF" w:rsidR="00720C11" w:rsidRDefault="00FD2A72" w:rsidP="00720C11">
      <w:pPr>
        <w:rPr>
          <w:sz w:val="20"/>
          <w:szCs w:val="20"/>
          <w:lang w:val="en-US"/>
        </w:rPr>
      </w:pPr>
      <w:r>
        <w:rPr>
          <w:sz w:val="20"/>
          <w:szCs w:val="20"/>
          <w:lang w:val="en-US"/>
        </w:rPr>
        <w:t xml:space="preserve">The </w:t>
      </w:r>
      <w:r w:rsidR="00720C11">
        <w:rPr>
          <w:sz w:val="20"/>
          <w:szCs w:val="20"/>
          <w:lang w:val="en-US"/>
        </w:rPr>
        <w:t>name</w:t>
      </w:r>
      <w:r w:rsidR="001959A4">
        <w:rPr>
          <w:sz w:val="20"/>
          <w:szCs w:val="20"/>
          <w:lang w:val="en-US"/>
        </w:rPr>
        <w:t>s</w:t>
      </w:r>
      <w:r w:rsidR="00720C11">
        <w:rPr>
          <w:sz w:val="20"/>
          <w:szCs w:val="20"/>
          <w:lang w:val="en-US"/>
        </w:rPr>
        <w:t xml:space="preserve"> of the companies </w:t>
      </w:r>
      <w:r w:rsidR="001959A4">
        <w:rPr>
          <w:sz w:val="20"/>
          <w:szCs w:val="20"/>
          <w:lang w:val="en-US"/>
        </w:rPr>
        <w:t>within</w:t>
      </w:r>
      <w:r w:rsidR="00720C11">
        <w:rPr>
          <w:sz w:val="20"/>
          <w:szCs w:val="20"/>
          <w:lang w:val="en-US"/>
        </w:rPr>
        <w:t xml:space="preserve"> the Stoxx600</w:t>
      </w:r>
      <w:r w:rsidR="001959A4">
        <w:rPr>
          <w:sz w:val="20"/>
          <w:szCs w:val="20"/>
          <w:lang w:val="en-US"/>
        </w:rPr>
        <w:t xml:space="preserve"> on investing.com</w:t>
      </w:r>
      <w:r w:rsidRPr="00FD2A72">
        <w:rPr>
          <w:sz w:val="20"/>
          <w:szCs w:val="20"/>
          <w:lang w:val="en-US"/>
        </w:rPr>
        <w:t xml:space="preserve"> </w:t>
      </w:r>
      <w:r>
        <w:rPr>
          <w:sz w:val="20"/>
          <w:szCs w:val="20"/>
          <w:lang w:val="en-US"/>
        </w:rPr>
        <w:t>are</w:t>
      </w:r>
      <w:r>
        <w:rPr>
          <w:sz w:val="20"/>
          <w:szCs w:val="20"/>
          <w:lang w:val="en-US"/>
        </w:rPr>
        <w:t xml:space="preserve"> first scrapped</w:t>
      </w:r>
      <w:r w:rsidR="001959A4">
        <w:rPr>
          <w:sz w:val="20"/>
          <w:szCs w:val="20"/>
          <w:lang w:val="en-US"/>
        </w:rPr>
        <w:t xml:space="preserve">. Follow and request the </w:t>
      </w:r>
      <w:r w:rsidR="00B81E4B">
        <w:rPr>
          <w:sz w:val="20"/>
          <w:szCs w:val="20"/>
          <w:lang w:val="en-US"/>
        </w:rPr>
        <w:t>hypertext reference</w:t>
      </w:r>
      <w:r w:rsidR="001959A4">
        <w:rPr>
          <w:sz w:val="20"/>
          <w:szCs w:val="20"/>
          <w:lang w:val="en-US"/>
        </w:rPr>
        <w:t xml:space="preserve"> of each row to obtain the ticker and exchange country or name. The data </w:t>
      </w:r>
      <w:r w:rsidR="00B81E4B">
        <w:rPr>
          <w:sz w:val="20"/>
          <w:szCs w:val="20"/>
          <w:lang w:val="en-US"/>
        </w:rPr>
        <w:t>was</w:t>
      </w:r>
      <w:r w:rsidR="001959A4">
        <w:rPr>
          <w:sz w:val="20"/>
          <w:szCs w:val="20"/>
          <w:lang w:val="en-US"/>
        </w:rPr>
        <w:t xml:space="preserve"> however unreliable and only matched up 146 tickers on yahoo finance. </w:t>
      </w:r>
    </w:p>
    <w:p w14:paraId="275C5256" w14:textId="2E423E86" w:rsidR="001959A4" w:rsidRDefault="001959A4" w:rsidP="00720C11">
      <w:pPr>
        <w:rPr>
          <w:sz w:val="20"/>
          <w:szCs w:val="20"/>
          <w:lang w:val="en-US"/>
        </w:rPr>
      </w:pPr>
      <w:r>
        <w:rPr>
          <w:sz w:val="20"/>
          <w:szCs w:val="20"/>
          <w:lang w:val="en-US"/>
        </w:rPr>
        <w:t xml:space="preserve">A better solution is later found. Using the official document on stoxx website, the code automatically looks up the name of the company on autocomplete yahoo finance, returning a ticker for each company. The list is further filtered as some </w:t>
      </w:r>
      <w:r w:rsidR="00B4197A">
        <w:rPr>
          <w:sz w:val="20"/>
          <w:szCs w:val="20"/>
          <w:lang w:val="en-US"/>
        </w:rPr>
        <w:t>companies are</w:t>
      </w:r>
      <w:r>
        <w:rPr>
          <w:sz w:val="20"/>
          <w:szCs w:val="20"/>
          <w:lang w:val="en-US"/>
        </w:rPr>
        <w:t xml:space="preserve"> double listed outside Europe or other OTC markets.</w:t>
      </w:r>
      <w:r w:rsidR="00B81E4B">
        <w:rPr>
          <w:sz w:val="20"/>
          <w:szCs w:val="20"/>
          <w:lang w:val="en-US"/>
        </w:rPr>
        <w:t xml:space="preserve"> An API is used to download all the tickers.</w:t>
      </w:r>
      <w:r>
        <w:rPr>
          <w:sz w:val="20"/>
          <w:szCs w:val="20"/>
          <w:lang w:val="en-US"/>
        </w:rPr>
        <w:t xml:space="preserve"> This</w:t>
      </w:r>
      <w:r w:rsidR="00B81E4B">
        <w:rPr>
          <w:sz w:val="20"/>
          <w:szCs w:val="20"/>
          <w:lang w:val="en-US"/>
        </w:rPr>
        <w:t xml:space="preserve"> method</w:t>
      </w:r>
      <w:r>
        <w:rPr>
          <w:sz w:val="20"/>
          <w:szCs w:val="20"/>
          <w:lang w:val="en-US"/>
        </w:rPr>
        <w:t xml:space="preserve"> retrieves </w:t>
      </w:r>
      <w:r w:rsidR="00B659C8">
        <w:rPr>
          <w:sz w:val="20"/>
          <w:szCs w:val="20"/>
          <w:lang w:val="en-US"/>
        </w:rPr>
        <w:t>412</w:t>
      </w:r>
      <w:r w:rsidR="00B81E4B">
        <w:rPr>
          <w:sz w:val="20"/>
          <w:szCs w:val="20"/>
          <w:lang w:val="en-US"/>
        </w:rPr>
        <w:t xml:space="preserve"> stocks price history</w:t>
      </w:r>
      <w:r>
        <w:rPr>
          <w:sz w:val="20"/>
          <w:szCs w:val="20"/>
          <w:lang w:val="en-US"/>
        </w:rPr>
        <w:t xml:space="preserve"> within stoxx600.</w:t>
      </w:r>
    </w:p>
    <w:p w14:paraId="1BCF84B0" w14:textId="77777777" w:rsidR="001959A4" w:rsidRDefault="001959A4" w:rsidP="00720C11">
      <w:pPr>
        <w:rPr>
          <w:sz w:val="20"/>
          <w:szCs w:val="20"/>
          <w:lang w:val="en-US"/>
        </w:rPr>
      </w:pPr>
    </w:p>
    <w:p w14:paraId="4B5DE0DC" w14:textId="4C78D526" w:rsidR="00B8212B" w:rsidRDefault="001959A4" w:rsidP="00720C11">
      <w:pPr>
        <w:rPr>
          <w:sz w:val="20"/>
          <w:szCs w:val="20"/>
          <w:lang w:val="en-US"/>
        </w:rPr>
      </w:pPr>
      <w:r>
        <w:rPr>
          <w:sz w:val="20"/>
          <w:szCs w:val="20"/>
          <w:lang w:val="en-US"/>
        </w:rPr>
        <w:t>Results</w:t>
      </w:r>
    </w:p>
    <w:p w14:paraId="6B884086" w14:textId="77777777" w:rsidR="001959A4" w:rsidRDefault="001959A4" w:rsidP="00720C11">
      <w:pPr>
        <w:rPr>
          <w:sz w:val="20"/>
          <w:szCs w:val="20"/>
          <w:lang w:val="en-US"/>
        </w:rPr>
      </w:pPr>
      <w:r>
        <w:rPr>
          <w:sz w:val="20"/>
          <w:szCs w:val="20"/>
          <w:lang w:val="en-US"/>
        </w:rPr>
        <w:t xml:space="preserve"> Using the given method, the </w:t>
      </w:r>
      <w:r w:rsidR="005E205B">
        <w:rPr>
          <w:sz w:val="20"/>
          <w:szCs w:val="20"/>
          <w:lang w:val="en-US"/>
        </w:rPr>
        <w:t>strategy</w:t>
      </w:r>
    </w:p>
    <w:p w14:paraId="65203509" w14:textId="42DA4BC2" w:rsidR="007717B3" w:rsidRDefault="00B8212B" w:rsidP="007717B3">
      <w:pPr>
        <w:pStyle w:val="ListParagraph"/>
        <w:numPr>
          <w:ilvl w:val="0"/>
          <w:numId w:val="2"/>
        </w:numPr>
        <w:rPr>
          <w:sz w:val="20"/>
          <w:szCs w:val="20"/>
          <w:lang w:val="en-US"/>
        </w:rPr>
      </w:pPr>
      <w:r>
        <w:rPr>
          <w:sz w:val="20"/>
          <w:szCs w:val="20"/>
          <w:lang w:val="en-US"/>
        </w:rPr>
        <w:t>Returns are p</w:t>
      </w:r>
      <w:r w:rsidR="007717B3">
        <w:rPr>
          <w:sz w:val="20"/>
          <w:szCs w:val="20"/>
          <w:lang w:val="en-US"/>
        </w:rPr>
        <w:t>ositively skew</w:t>
      </w:r>
      <w:r>
        <w:rPr>
          <w:sz w:val="20"/>
          <w:szCs w:val="20"/>
          <w:lang w:val="en-US"/>
        </w:rPr>
        <w:t>ed</w:t>
      </w:r>
      <w:r w:rsidR="006A25E4">
        <w:rPr>
          <w:sz w:val="20"/>
          <w:szCs w:val="20"/>
          <w:lang w:val="en-US"/>
        </w:rPr>
        <w:t xml:space="preserve">, fat tail due to sudden drop in price, which is expected as market usually builds up parabolic and </w:t>
      </w:r>
      <w:r w:rsidR="005E205B">
        <w:rPr>
          <w:sz w:val="20"/>
          <w:szCs w:val="20"/>
          <w:lang w:val="en-US"/>
        </w:rPr>
        <w:t>blow off out of investor’s panic. Trend following essentially “riding the wave” but fear always come quicker than the build up</w:t>
      </w:r>
    </w:p>
    <w:p w14:paraId="13671CAD" w14:textId="634E1CC1" w:rsidR="00B81E4B" w:rsidRDefault="00B81E4B" w:rsidP="00012146">
      <w:pPr>
        <w:pStyle w:val="ListParagraph"/>
        <w:numPr>
          <w:ilvl w:val="0"/>
          <w:numId w:val="2"/>
        </w:numPr>
        <w:rPr>
          <w:sz w:val="20"/>
          <w:szCs w:val="20"/>
          <w:lang w:val="en-US"/>
        </w:rPr>
      </w:pPr>
      <w:r>
        <w:rPr>
          <w:sz w:val="20"/>
          <w:szCs w:val="20"/>
          <w:lang w:val="en-US"/>
        </w:rPr>
        <w:t>The Spread between the long/ short cumulative returns widens during uptrend, but nar</w:t>
      </w:r>
      <w:r w:rsidR="00850E6D">
        <w:rPr>
          <w:sz w:val="20"/>
          <w:szCs w:val="20"/>
          <w:lang w:val="en-US"/>
        </w:rPr>
        <w:t>rows during downtrend, which is most prominent between Mar-2020 and Apr-2020</w:t>
      </w:r>
    </w:p>
    <w:p w14:paraId="15B698CC" w14:textId="7F6AA692" w:rsidR="006A4AF3" w:rsidRDefault="006A4AF3" w:rsidP="00012146">
      <w:pPr>
        <w:pStyle w:val="ListParagraph"/>
        <w:numPr>
          <w:ilvl w:val="0"/>
          <w:numId w:val="2"/>
        </w:numPr>
        <w:rPr>
          <w:sz w:val="20"/>
          <w:szCs w:val="20"/>
          <w:lang w:val="en-US"/>
        </w:rPr>
      </w:pPr>
      <w:r>
        <w:rPr>
          <w:sz w:val="20"/>
          <w:szCs w:val="20"/>
          <w:lang w:val="en-US"/>
        </w:rPr>
        <w:t>The draw down in Mar-2020 shows trend following is like picking up pennies on a train track. We want to minimize the wipe out by exiting the trade earlier, most likely rely on our fast moving averages, but on the other hand we need</w:t>
      </w:r>
      <w:bookmarkStart w:id="0" w:name="_GoBack"/>
      <w:bookmarkEnd w:id="0"/>
      <w:r>
        <w:rPr>
          <w:sz w:val="20"/>
          <w:szCs w:val="20"/>
          <w:lang w:val="en-US"/>
        </w:rPr>
        <w:t xml:space="preserve"> to keep trading cost low. </w:t>
      </w:r>
    </w:p>
    <w:p w14:paraId="46A00087" w14:textId="77777777" w:rsidR="00B8212B" w:rsidRPr="00B8212B" w:rsidRDefault="00B8212B" w:rsidP="00B8212B">
      <w:pPr>
        <w:pStyle w:val="ListParagraph"/>
        <w:ind w:left="1080"/>
        <w:rPr>
          <w:sz w:val="20"/>
          <w:szCs w:val="20"/>
          <w:lang w:val="en-US"/>
        </w:rPr>
      </w:pPr>
    </w:p>
    <w:p w14:paraId="034121A0" w14:textId="61E643CB" w:rsidR="00877B3D" w:rsidRDefault="00091B3B" w:rsidP="00720C11">
      <w:pPr>
        <w:rPr>
          <w:sz w:val="20"/>
          <w:szCs w:val="20"/>
          <w:lang w:val="en-US"/>
        </w:rPr>
      </w:pPr>
      <w:r>
        <w:rPr>
          <w:sz w:val="20"/>
          <w:szCs w:val="20"/>
          <w:lang w:val="en-US"/>
        </w:rPr>
        <w:t>Improvement</w:t>
      </w:r>
      <w:r w:rsidR="00B4197A">
        <w:rPr>
          <w:sz w:val="20"/>
          <w:szCs w:val="20"/>
          <w:lang w:val="en-US"/>
        </w:rPr>
        <w:t>s</w:t>
      </w:r>
      <w:r>
        <w:rPr>
          <w:sz w:val="20"/>
          <w:szCs w:val="20"/>
          <w:lang w:val="en-US"/>
        </w:rPr>
        <w:t xml:space="preserve"> I </w:t>
      </w:r>
      <w:r w:rsidR="00B4197A">
        <w:rPr>
          <w:sz w:val="20"/>
          <w:szCs w:val="20"/>
          <w:lang w:val="en-US"/>
        </w:rPr>
        <w:t xml:space="preserve">have </w:t>
      </w:r>
      <w:r>
        <w:rPr>
          <w:sz w:val="20"/>
          <w:szCs w:val="20"/>
          <w:lang w:val="en-US"/>
        </w:rPr>
        <w:t xml:space="preserve">tried </w:t>
      </w:r>
    </w:p>
    <w:p w14:paraId="477369F3" w14:textId="77777777" w:rsidR="008B39CB" w:rsidRDefault="00AE6168" w:rsidP="00877B3D">
      <w:pPr>
        <w:pStyle w:val="ListParagraph"/>
        <w:numPr>
          <w:ilvl w:val="0"/>
          <w:numId w:val="3"/>
        </w:numPr>
        <w:rPr>
          <w:sz w:val="20"/>
          <w:szCs w:val="20"/>
          <w:lang w:val="en-US"/>
        </w:rPr>
      </w:pPr>
      <w:r>
        <w:rPr>
          <w:sz w:val="20"/>
          <w:szCs w:val="20"/>
          <w:lang w:val="en-US"/>
        </w:rPr>
        <w:t>Continuous spread</w:t>
      </w:r>
      <w:r w:rsidR="00091B3B">
        <w:rPr>
          <w:sz w:val="20"/>
          <w:szCs w:val="20"/>
          <w:lang w:val="en-US"/>
        </w:rPr>
        <w:t xml:space="preserve"> instead of binary signal</w:t>
      </w:r>
    </w:p>
    <w:p w14:paraId="74B39DC9" w14:textId="31B47362" w:rsidR="00877B3D" w:rsidRDefault="00AE6168" w:rsidP="00877B3D">
      <w:pPr>
        <w:pStyle w:val="ListParagraph"/>
        <w:numPr>
          <w:ilvl w:val="0"/>
          <w:numId w:val="3"/>
        </w:numPr>
        <w:rPr>
          <w:sz w:val="20"/>
          <w:szCs w:val="20"/>
          <w:lang w:val="en-US"/>
        </w:rPr>
      </w:pPr>
      <w:r>
        <w:rPr>
          <w:sz w:val="20"/>
          <w:szCs w:val="20"/>
          <w:lang w:val="en-US"/>
        </w:rPr>
        <w:t xml:space="preserve">adjust by price volatility </w:t>
      </w:r>
      <w:r w:rsidR="00091B3B">
        <w:rPr>
          <w:sz w:val="20"/>
          <w:szCs w:val="20"/>
          <w:lang w:val="en-US"/>
        </w:rPr>
        <w:t xml:space="preserve">so </w:t>
      </w:r>
      <w:r w:rsidR="00091B3B" w:rsidRPr="00091B3B">
        <w:rPr>
          <w:sz w:val="20"/>
          <w:szCs w:val="20"/>
          <w:lang w:val="en-US"/>
        </w:rPr>
        <w:t>big moves of slow movers’ weight more than big moves of big movers</w:t>
      </w:r>
    </w:p>
    <w:p w14:paraId="29B91DBC" w14:textId="77777777" w:rsidR="00AC13E9" w:rsidRDefault="00AC13E9" w:rsidP="00877B3D">
      <w:pPr>
        <w:pStyle w:val="ListParagraph"/>
        <w:numPr>
          <w:ilvl w:val="0"/>
          <w:numId w:val="3"/>
        </w:numPr>
        <w:rPr>
          <w:sz w:val="20"/>
          <w:szCs w:val="20"/>
          <w:lang w:val="en-US"/>
        </w:rPr>
      </w:pPr>
      <w:r>
        <w:rPr>
          <w:sz w:val="20"/>
          <w:szCs w:val="20"/>
          <w:lang w:val="en-US"/>
        </w:rPr>
        <w:t>Separating out the individual porrtfolios</w:t>
      </w:r>
    </w:p>
    <w:p w14:paraId="3DB68D7D" w14:textId="77777777" w:rsidR="00091B3B" w:rsidRDefault="00091B3B" w:rsidP="00877B3D">
      <w:pPr>
        <w:pStyle w:val="ListParagraph"/>
        <w:numPr>
          <w:ilvl w:val="0"/>
          <w:numId w:val="3"/>
        </w:numPr>
        <w:rPr>
          <w:sz w:val="20"/>
          <w:szCs w:val="20"/>
          <w:lang w:val="en-US"/>
        </w:rPr>
      </w:pPr>
      <w:r>
        <w:rPr>
          <w:sz w:val="20"/>
          <w:szCs w:val="20"/>
          <w:lang w:val="en-US"/>
        </w:rPr>
        <w:t>Weighting the signals with</w:t>
      </w:r>
      <w:r w:rsidR="00720E68">
        <w:rPr>
          <w:sz w:val="20"/>
          <w:szCs w:val="20"/>
          <w:lang w:val="en-US"/>
        </w:rPr>
        <w:t xml:space="preserve"> their</w:t>
      </w:r>
      <w:r>
        <w:rPr>
          <w:sz w:val="20"/>
          <w:szCs w:val="20"/>
          <w:lang w:val="en-US"/>
        </w:rPr>
        <w:t xml:space="preserve"> minimum variance</w:t>
      </w:r>
      <w:r w:rsidR="00720E68">
        <w:rPr>
          <w:sz w:val="20"/>
          <w:szCs w:val="20"/>
          <w:lang w:val="en-US"/>
        </w:rPr>
        <w:t xml:space="preserve"> combination</w:t>
      </w:r>
      <w:r>
        <w:rPr>
          <w:sz w:val="20"/>
          <w:szCs w:val="20"/>
          <w:lang w:val="en-US"/>
        </w:rPr>
        <w:t xml:space="preserve">, so an indication of upward trend should be stable and smooth over without missing opportunity due to slow moving averages. </w:t>
      </w:r>
    </w:p>
    <w:p w14:paraId="1F5EC63C" w14:textId="77777777" w:rsidR="00091B3B" w:rsidRDefault="00091B3B" w:rsidP="00091B3B">
      <w:pPr>
        <w:pStyle w:val="ListParagraph"/>
        <w:numPr>
          <w:ilvl w:val="1"/>
          <w:numId w:val="3"/>
        </w:numPr>
        <w:rPr>
          <w:sz w:val="20"/>
          <w:szCs w:val="20"/>
          <w:lang w:val="en-US"/>
        </w:rPr>
      </w:pPr>
      <w:r>
        <w:rPr>
          <w:sz w:val="20"/>
          <w:szCs w:val="20"/>
          <w:lang w:val="en-US"/>
        </w:rPr>
        <w:t>However not sure how to scale the signal the right way as the distribution of the moving averages spread is not normal, three rules are demonstrated here &gt;0, 1 or 2. Easy to overfit, can test out-of-sample</w:t>
      </w:r>
    </w:p>
    <w:p w14:paraId="11E7ACC3" w14:textId="77777777" w:rsidR="00720E68" w:rsidRDefault="00720E68" w:rsidP="00720E68">
      <w:pPr>
        <w:pStyle w:val="ListParagraph"/>
        <w:numPr>
          <w:ilvl w:val="0"/>
          <w:numId w:val="3"/>
        </w:numPr>
        <w:rPr>
          <w:sz w:val="20"/>
          <w:szCs w:val="20"/>
          <w:lang w:val="en-US"/>
        </w:rPr>
      </w:pPr>
      <w:r>
        <w:rPr>
          <w:sz w:val="20"/>
          <w:szCs w:val="20"/>
          <w:lang w:val="en-US"/>
        </w:rPr>
        <w:t>Minimum Variance Portfolio</w:t>
      </w:r>
      <w:r w:rsidR="006A25E4">
        <w:rPr>
          <w:sz w:val="20"/>
          <w:szCs w:val="20"/>
          <w:lang w:val="en-US"/>
        </w:rPr>
        <w:t xml:space="preserve"> as opposed to equal weighting scheme so far</w:t>
      </w:r>
      <w:r>
        <w:rPr>
          <w:sz w:val="20"/>
          <w:szCs w:val="20"/>
          <w:lang w:val="en-US"/>
        </w:rPr>
        <w:t>, calculate each day variance matrix of each individual trend-following stock’s return using an expanding look-back window, and rebalance daily to target optimal weight.</w:t>
      </w:r>
    </w:p>
    <w:p w14:paraId="1D93DCFE" w14:textId="0D019F90" w:rsidR="00951DF6" w:rsidRDefault="00951DF6" w:rsidP="00951DF6">
      <w:pPr>
        <w:pStyle w:val="ListParagraph"/>
        <w:ind w:left="0"/>
        <w:rPr>
          <w:sz w:val="20"/>
          <w:szCs w:val="20"/>
          <w:lang w:val="en-US"/>
        </w:rPr>
      </w:pPr>
      <w:r>
        <w:rPr>
          <w:sz w:val="20"/>
          <w:szCs w:val="20"/>
          <w:lang w:val="en-US"/>
        </w:rPr>
        <w:t>Observations of the Improvements:</w:t>
      </w:r>
    </w:p>
    <w:p w14:paraId="69D3DEAF" w14:textId="418B6B8D" w:rsidR="00951DF6" w:rsidRDefault="00951DF6" w:rsidP="00951DF6">
      <w:pPr>
        <w:pStyle w:val="ListParagraph"/>
        <w:numPr>
          <w:ilvl w:val="0"/>
          <w:numId w:val="5"/>
        </w:numPr>
        <w:rPr>
          <w:sz w:val="20"/>
          <w:szCs w:val="20"/>
          <w:lang w:val="en-US"/>
        </w:rPr>
      </w:pPr>
      <w:r>
        <w:rPr>
          <w:sz w:val="20"/>
          <w:szCs w:val="20"/>
          <w:lang w:val="en-US"/>
        </w:rPr>
        <w:t xml:space="preserve">PnLs are largely distorted by Mar 2020 market crash and recoup, especially for 50_150 binary strategy. The fund would have closed down if this strategy were used. </w:t>
      </w:r>
    </w:p>
    <w:p w14:paraId="6BF48334" w14:textId="5317E340" w:rsidR="00850E6D" w:rsidRDefault="00850E6D" w:rsidP="00951DF6">
      <w:pPr>
        <w:pStyle w:val="ListParagraph"/>
        <w:numPr>
          <w:ilvl w:val="0"/>
          <w:numId w:val="5"/>
        </w:numPr>
        <w:rPr>
          <w:sz w:val="20"/>
          <w:szCs w:val="20"/>
          <w:lang w:val="en-US"/>
        </w:rPr>
      </w:pPr>
      <w:r>
        <w:rPr>
          <w:sz w:val="20"/>
          <w:szCs w:val="20"/>
          <w:lang w:val="en-US"/>
        </w:rPr>
        <w:t>However</w:t>
      </w:r>
      <w:r w:rsidR="00B659C8">
        <w:rPr>
          <w:sz w:val="20"/>
          <w:szCs w:val="20"/>
          <w:lang w:val="en-US"/>
        </w:rPr>
        <w:t>,</w:t>
      </w:r>
      <w:r>
        <w:rPr>
          <w:sz w:val="20"/>
          <w:szCs w:val="20"/>
          <w:lang w:val="en-US"/>
        </w:rPr>
        <w:t xml:space="preserve"> we see an improvement in lowering maximum drawdown, systematic risk to stoxx 600 (beta) and most importantly volatility by giving up some alpha in using Combined Continuous Signal, weighted by minimum variance returns</w:t>
      </w:r>
    </w:p>
    <w:p w14:paraId="5675E1A5" w14:textId="13CEF06E" w:rsidR="00B659C8" w:rsidRPr="00951DF6" w:rsidRDefault="00B659C8" w:rsidP="00951DF6">
      <w:pPr>
        <w:pStyle w:val="ListParagraph"/>
        <w:numPr>
          <w:ilvl w:val="0"/>
          <w:numId w:val="5"/>
        </w:numPr>
        <w:rPr>
          <w:sz w:val="20"/>
          <w:szCs w:val="20"/>
          <w:lang w:val="en-US"/>
        </w:rPr>
      </w:pPr>
      <w:r>
        <w:rPr>
          <w:sz w:val="20"/>
          <w:szCs w:val="20"/>
          <w:lang w:val="en-US"/>
        </w:rPr>
        <w:t>Minimum variance portfolio is the perfect example of infrequent trading artificially inflating IR and staying IDLE most of the time</w:t>
      </w:r>
    </w:p>
    <w:p w14:paraId="4C91B60B" w14:textId="77777777" w:rsidR="00951DF6" w:rsidRDefault="00951DF6" w:rsidP="00951DF6">
      <w:pPr>
        <w:pStyle w:val="ListParagraph"/>
        <w:ind w:left="0"/>
        <w:rPr>
          <w:sz w:val="20"/>
          <w:szCs w:val="20"/>
          <w:lang w:val="en-US"/>
        </w:rPr>
      </w:pPr>
    </w:p>
    <w:p w14:paraId="7FDB7AD2" w14:textId="77777777" w:rsidR="00B8212B" w:rsidRDefault="00B8212B" w:rsidP="00720E68">
      <w:pPr>
        <w:pStyle w:val="ListParagraph"/>
        <w:rPr>
          <w:sz w:val="20"/>
          <w:szCs w:val="20"/>
          <w:lang w:val="en-US"/>
        </w:rPr>
      </w:pPr>
    </w:p>
    <w:p w14:paraId="2203BD28" w14:textId="5DEA676F" w:rsidR="00B8212B" w:rsidRDefault="00B8212B" w:rsidP="00B8212B">
      <w:pPr>
        <w:rPr>
          <w:sz w:val="20"/>
          <w:szCs w:val="20"/>
        </w:rPr>
      </w:pPr>
      <w:r>
        <w:rPr>
          <w:sz w:val="20"/>
          <w:szCs w:val="20"/>
        </w:rPr>
        <w:t>Backtest Results</w:t>
      </w:r>
      <w:r w:rsidR="00EA78EC">
        <w:rPr>
          <w:sz w:val="20"/>
          <w:szCs w:val="20"/>
        </w:rPr>
        <w:t xml:space="preserve"> (2015</w:t>
      </w:r>
      <w:r>
        <w:rPr>
          <w:sz w:val="20"/>
          <w:szCs w:val="20"/>
        </w:rPr>
        <w:t xml:space="preserve"> to 2020):</w:t>
      </w:r>
    </w:p>
    <w:tbl>
      <w:tblPr>
        <w:tblW w:w="5024" w:type="pct"/>
        <w:tblInd w:w="-44" w:type="dxa"/>
        <w:tblLook w:val="04A0" w:firstRow="1" w:lastRow="0" w:firstColumn="1" w:lastColumn="0" w:noHBand="0" w:noVBand="1"/>
      </w:tblPr>
      <w:tblGrid>
        <w:gridCol w:w="1704"/>
        <w:gridCol w:w="806"/>
        <w:gridCol w:w="829"/>
        <w:gridCol w:w="882"/>
        <w:gridCol w:w="1263"/>
        <w:gridCol w:w="1263"/>
        <w:gridCol w:w="1286"/>
        <w:gridCol w:w="1011"/>
      </w:tblGrid>
      <w:tr w:rsidR="00B659C8" w:rsidRPr="00850E6D" w14:paraId="12E976BD" w14:textId="77777777" w:rsidTr="00850E6D">
        <w:trPr>
          <w:trHeight w:val="340"/>
        </w:trPr>
        <w:tc>
          <w:tcPr>
            <w:tcW w:w="95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414D5D"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Metrics\Portfolio</w:t>
            </w:r>
          </w:p>
        </w:tc>
        <w:tc>
          <w:tcPr>
            <w:tcW w:w="449" w:type="pct"/>
            <w:tcBorders>
              <w:top w:val="single" w:sz="8" w:space="0" w:color="auto"/>
              <w:left w:val="nil"/>
              <w:bottom w:val="single" w:sz="8" w:space="0" w:color="auto"/>
              <w:right w:val="single" w:sz="8" w:space="0" w:color="auto"/>
            </w:tcBorders>
            <w:shd w:val="clear" w:color="auto" w:fill="auto"/>
            <w:noWrap/>
            <w:vAlign w:val="center"/>
            <w:hideMark/>
          </w:tcPr>
          <w:p w14:paraId="4141899B"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Given (Binary)</w:t>
            </w:r>
          </w:p>
        </w:tc>
        <w:tc>
          <w:tcPr>
            <w:tcW w:w="462" w:type="pct"/>
            <w:tcBorders>
              <w:top w:val="single" w:sz="8" w:space="0" w:color="auto"/>
              <w:left w:val="nil"/>
              <w:bottom w:val="single" w:sz="8" w:space="0" w:color="auto"/>
              <w:right w:val="single" w:sz="8" w:space="0" w:color="auto"/>
            </w:tcBorders>
            <w:shd w:val="clear" w:color="auto" w:fill="auto"/>
            <w:noWrap/>
            <w:vAlign w:val="center"/>
            <w:hideMark/>
          </w:tcPr>
          <w:p w14:paraId="0A48C838"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20_50 (Binary)</w:t>
            </w:r>
          </w:p>
        </w:tc>
        <w:tc>
          <w:tcPr>
            <w:tcW w:w="491" w:type="pct"/>
            <w:tcBorders>
              <w:top w:val="single" w:sz="8" w:space="0" w:color="auto"/>
              <w:left w:val="nil"/>
              <w:bottom w:val="single" w:sz="8" w:space="0" w:color="auto"/>
              <w:right w:val="single" w:sz="8" w:space="0" w:color="auto"/>
            </w:tcBorders>
            <w:shd w:val="clear" w:color="auto" w:fill="auto"/>
            <w:noWrap/>
            <w:vAlign w:val="center"/>
            <w:hideMark/>
          </w:tcPr>
          <w:p w14:paraId="2535C12C"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50_150 (Binary)</w:t>
            </w:r>
          </w:p>
        </w:tc>
        <w:tc>
          <w:tcPr>
            <w:tcW w:w="691" w:type="pct"/>
            <w:tcBorders>
              <w:top w:val="single" w:sz="8" w:space="0" w:color="auto"/>
              <w:left w:val="nil"/>
              <w:bottom w:val="single" w:sz="8" w:space="0" w:color="auto"/>
              <w:right w:val="single" w:sz="8" w:space="0" w:color="auto"/>
            </w:tcBorders>
            <w:shd w:val="clear" w:color="auto" w:fill="auto"/>
            <w:noWrap/>
            <w:vAlign w:val="center"/>
            <w:hideMark/>
          </w:tcPr>
          <w:p w14:paraId="1A406AA3" w14:textId="22BD4BF6"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Combined</w:t>
            </w:r>
            <w:r w:rsidR="00B659C8">
              <w:rPr>
                <w:rFonts w:asciiTheme="majorHAnsi" w:eastAsia="Times New Roman" w:hAnsiTheme="majorHAnsi" w:cs="Times New Roman"/>
                <w:color w:val="000000"/>
                <w:sz w:val="18"/>
                <w:szCs w:val="18"/>
                <w:lang w:eastAsia="en-GB"/>
              </w:rPr>
              <w:t xml:space="preserve"> </w:t>
            </w:r>
            <w:r w:rsidRPr="00850E6D">
              <w:rPr>
                <w:rFonts w:asciiTheme="majorHAnsi" w:eastAsia="Times New Roman" w:hAnsiTheme="majorHAnsi" w:cs="Times New Roman"/>
                <w:color w:val="000000"/>
                <w:sz w:val="18"/>
                <w:szCs w:val="18"/>
                <w:lang w:eastAsia="en-GB"/>
              </w:rPr>
              <w:t>Continuous(0)</w:t>
            </w:r>
          </w:p>
        </w:tc>
        <w:tc>
          <w:tcPr>
            <w:tcW w:w="691" w:type="pct"/>
            <w:tcBorders>
              <w:top w:val="single" w:sz="8" w:space="0" w:color="auto"/>
              <w:left w:val="nil"/>
              <w:bottom w:val="single" w:sz="8" w:space="0" w:color="auto"/>
              <w:right w:val="single" w:sz="8" w:space="0" w:color="auto"/>
            </w:tcBorders>
            <w:shd w:val="clear" w:color="auto" w:fill="auto"/>
            <w:noWrap/>
            <w:vAlign w:val="center"/>
            <w:hideMark/>
          </w:tcPr>
          <w:p w14:paraId="3447A4CA" w14:textId="4109743E"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Combined</w:t>
            </w:r>
            <w:r w:rsidR="00B659C8">
              <w:rPr>
                <w:rFonts w:asciiTheme="majorHAnsi" w:eastAsia="Times New Roman" w:hAnsiTheme="majorHAnsi" w:cs="Times New Roman"/>
                <w:color w:val="000000"/>
                <w:sz w:val="18"/>
                <w:szCs w:val="18"/>
                <w:lang w:eastAsia="en-GB"/>
              </w:rPr>
              <w:t xml:space="preserve"> </w:t>
            </w:r>
            <w:r w:rsidRPr="00850E6D">
              <w:rPr>
                <w:rFonts w:asciiTheme="majorHAnsi" w:eastAsia="Times New Roman" w:hAnsiTheme="majorHAnsi" w:cs="Times New Roman"/>
                <w:color w:val="000000"/>
                <w:sz w:val="18"/>
                <w:szCs w:val="18"/>
                <w:lang w:eastAsia="en-GB"/>
              </w:rPr>
              <w:t>Continuous(1)</w:t>
            </w:r>
          </w:p>
        </w:tc>
        <w:tc>
          <w:tcPr>
            <w:tcW w:w="704" w:type="pct"/>
            <w:tcBorders>
              <w:top w:val="single" w:sz="8" w:space="0" w:color="auto"/>
              <w:left w:val="nil"/>
              <w:bottom w:val="single" w:sz="8" w:space="0" w:color="auto"/>
              <w:right w:val="single" w:sz="8" w:space="0" w:color="auto"/>
            </w:tcBorders>
            <w:shd w:val="clear" w:color="auto" w:fill="auto"/>
            <w:noWrap/>
            <w:vAlign w:val="center"/>
            <w:hideMark/>
          </w:tcPr>
          <w:p w14:paraId="3B89AE5A" w14:textId="164A7223"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Combined</w:t>
            </w:r>
            <w:r w:rsidR="00B659C8">
              <w:rPr>
                <w:rFonts w:asciiTheme="majorHAnsi" w:eastAsia="Times New Roman" w:hAnsiTheme="majorHAnsi" w:cs="Times New Roman"/>
                <w:color w:val="000000"/>
                <w:sz w:val="18"/>
                <w:szCs w:val="18"/>
                <w:lang w:eastAsia="en-GB"/>
              </w:rPr>
              <w:t xml:space="preserve"> </w:t>
            </w:r>
            <w:r w:rsidRPr="00850E6D">
              <w:rPr>
                <w:rFonts w:asciiTheme="majorHAnsi" w:eastAsia="Times New Roman" w:hAnsiTheme="majorHAnsi" w:cs="Times New Roman"/>
                <w:color w:val="000000"/>
                <w:sz w:val="18"/>
                <w:szCs w:val="18"/>
                <w:lang w:eastAsia="en-GB"/>
              </w:rPr>
              <w:t>Continuous (2)</w:t>
            </w:r>
          </w:p>
        </w:tc>
        <w:tc>
          <w:tcPr>
            <w:tcW w:w="563" w:type="pct"/>
            <w:tcBorders>
              <w:top w:val="single" w:sz="8" w:space="0" w:color="auto"/>
              <w:left w:val="nil"/>
              <w:bottom w:val="single" w:sz="8" w:space="0" w:color="auto"/>
              <w:right w:val="single" w:sz="8" w:space="0" w:color="auto"/>
            </w:tcBorders>
            <w:shd w:val="clear" w:color="auto" w:fill="auto"/>
            <w:noWrap/>
            <w:vAlign w:val="center"/>
            <w:hideMark/>
          </w:tcPr>
          <w:p w14:paraId="2BF28BC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Minimum Variance</w:t>
            </w:r>
          </w:p>
        </w:tc>
      </w:tr>
      <w:tr w:rsidR="00850E6D" w:rsidRPr="00850E6D" w14:paraId="6B5FAE37" w14:textId="77777777" w:rsidTr="00850E6D">
        <w:trPr>
          <w:trHeight w:val="38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217CE68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Profitability(End Equity, began as 1)</w:t>
            </w:r>
          </w:p>
        </w:tc>
        <w:tc>
          <w:tcPr>
            <w:tcW w:w="449" w:type="pct"/>
            <w:tcBorders>
              <w:top w:val="nil"/>
              <w:left w:val="nil"/>
              <w:bottom w:val="single" w:sz="8" w:space="0" w:color="auto"/>
              <w:right w:val="single" w:sz="8" w:space="0" w:color="auto"/>
            </w:tcBorders>
            <w:shd w:val="clear" w:color="auto" w:fill="auto"/>
            <w:noWrap/>
            <w:vAlign w:val="center"/>
            <w:hideMark/>
          </w:tcPr>
          <w:p w14:paraId="4FA4E03F"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1.3540</w:t>
            </w:r>
          </w:p>
        </w:tc>
        <w:tc>
          <w:tcPr>
            <w:tcW w:w="462" w:type="pct"/>
            <w:tcBorders>
              <w:top w:val="nil"/>
              <w:left w:val="nil"/>
              <w:bottom w:val="single" w:sz="8" w:space="0" w:color="auto"/>
              <w:right w:val="single" w:sz="8" w:space="0" w:color="auto"/>
            </w:tcBorders>
            <w:shd w:val="clear" w:color="auto" w:fill="auto"/>
            <w:noWrap/>
            <w:vAlign w:val="center"/>
            <w:hideMark/>
          </w:tcPr>
          <w:p w14:paraId="033BBFDC"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4.1909</w:t>
            </w:r>
          </w:p>
        </w:tc>
        <w:tc>
          <w:tcPr>
            <w:tcW w:w="491" w:type="pct"/>
            <w:tcBorders>
              <w:top w:val="nil"/>
              <w:left w:val="nil"/>
              <w:bottom w:val="single" w:sz="8" w:space="0" w:color="auto"/>
              <w:right w:val="single" w:sz="8" w:space="0" w:color="auto"/>
            </w:tcBorders>
            <w:shd w:val="clear" w:color="auto" w:fill="auto"/>
            <w:noWrap/>
            <w:vAlign w:val="center"/>
            <w:hideMark/>
          </w:tcPr>
          <w:p w14:paraId="263C0EC6" w14:textId="7DAD939E"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5.627</w:t>
            </w:r>
          </w:p>
        </w:tc>
        <w:tc>
          <w:tcPr>
            <w:tcW w:w="691" w:type="pct"/>
            <w:tcBorders>
              <w:top w:val="nil"/>
              <w:left w:val="nil"/>
              <w:bottom w:val="single" w:sz="8" w:space="0" w:color="auto"/>
              <w:right w:val="single" w:sz="8" w:space="0" w:color="auto"/>
            </w:tcBorders>
            <w:shd w:val="clear" w:color="auto" w:fill="auto"/>
            <w:noWrap/>
            <w:vAlign w:val="center"/>
            <w:hideMark/>
          </w:tcPr>
          <w:p w14:paraId="690F9014"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1.0720</w:t>
            </w:r>
          </w:p>
        </w:tc>
        <w:tc>
          <w:tcPr>
            <w:tcW w:w="691" w:type="pct"/>
            <w:tcBorders>
              <w:top w:val="nil"/>
              <w:left w:val="nil"/>
              <w:bottom w:val="single" w:sz="8" w:space="0" w:color="auto"/>
              <w:right w:val="single" w:sz="8" w:space="0" w:color="auto"/>
            </w:tcBorders>
            <w:shd w:val="clear" w:color="auto" w:fill="auto"/>
            <w:noWrap/>
            <w:vAlign w:val="center"/>
            <w:hideMark/>
          </w:tcPr>
          <w:p w14:paraId="1517516B"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1.4180</w:t>
            </w:r>
          </w:p>
        </w:tc>
        <w:tc>
          <w:tcPr>
            <w:tcW w:w="704" w:type="pct"/>
            <w:tcBorders>
              <w:top w:val="nil"/>
              <w:left w:val="nil"/>
              <w:bottom w:val="single" w:sz="8" w:space="0" w:color="auto"/>
              <w:right w:val="single" w:sz="8" w:space="0" w:color="auto"/>
            </w:tcBorders>
            <w:shd w:val="clear" w:color="auto" w:fill="auto"/>
            <w:noWrap/>
            <w:vAlign w:val="center"/>
            <w:hideMark/>
          </w:tcPr>
          <w:p w14:paraId="3A9B3CE7"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2.7990</w:t>
            </w:r>
          </w:p>
        </w:tc>
        <w:tc>
          <w:tcPr>
            <w:tcW w:w="563" w:type="pct"/>
            <w:tcBorders>
              <w:top w:val="nil"/>
              <w:left w:val="nil"/>
              <w:bottom w:val="single" w:sz="8" w:space="0" w:color="auto"/>
              <w:right w:val="single" w:sz="8" w:space="0" w:color="auto"/>
            </w:tcBorders>
            <w:shd w:val="clear" w:color="auto" w:fill="auto"/>
            <w:noWrap/>
            <w:vAlign w:val="center"/>
            <w:hideMark/>
          </w:tcPr>
          <w:p w14:paraId="707C4B3F"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1.0719</w:t>
            </w:r>
          </w:p>
        </w:tc>
      </w:tr>
      <w:tr w:rsidR="00850E6D" w:rsidRPr="00850E6D" w14:paraId="2F954FE9" w14:textId="77777777" w:rsidTr="00850E6D">
        <w:trPr>
          <w:trHeight w:val="40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50AB576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Alpha (daily)</w:t>
            </w:r>
          </w:p>
        </w:tc>
        <w:tc>
          <w:tcPr>
            <w:tcW w:w="449" w:type="pct"/>
            <w:tcBorders>
              <w:top w:val="nil"/>
              <w:left w:val="nil"/>
              <w:bottom w:val="single" w:sz="8" w:space="0" w:color="auto"/>
              <w:right w:val="single" w:sz="8" w:space="0" w:color="auto"/>
            </w:tcBorders>
            <w:shd w:val="clear" w:color="auto" w:fill="auto"/>
            <w:noWrap/>
            <w:vAlign w:val="center"/>
            <w:hideMark/>
          </w:tcPr>
          <w:p w14:paraId="5845327B"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0.0003</w:t>
            </w:r>
          </w:p>
        </w:tc>
        <w:tc>
          <w:tcPr>
            <w:tcW w:w="462" w:type="pct"/>
            <w:tcBorders>
              <w:top w:val="nil"/>
              <w:left w:val="nil"/>
              <w:bottom w:val="single" w:sz="8" w:space="0" w:color="auto"/>
              <w:right w:val="single" w:sz="8" w:space="0" w:color="auto"/>
            </w:tcBorders>
            <w:shd w:val="clear" w:color="auto" w:fill="auto"/>
            <w:noWrap/>
            <w:vAlign w:val="center"/>
            <w:hideMark/>
          </w:tcPr>
          <w:p w14:paraId="71AE82A1"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0.0013</w:t>
            </w:r>
          </w:p>
        </w:tc>
        <w:tc>
          <w:tcPr>
            <w:tcW w:w="491" w:type="pct"/>
            <w:tcBorders>
              <w:top w:val="nil"/>
              <w:left w:val="nil"/>
              <w:bottom w:val="single" w:sz="8" w:space="0" w:color="auto"/>
              <w:right w:val="single" w:sz="8" w:space="0" w:color="auto"/>
            </w:tcBorders>
            <w:shd w:val="clear" w:color="auto" w:fill="auto"/>
            <w:noWrap/>
            <w:vAlign w:val="center"/>
            <w:hideMark/>
          </w:tcPr>
          <w:p w14:paraId="4ED6548C" w14:textId="0F6B41D5"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-0.0008</w:t>
            </w:r>
          </w:p>
        </w:tc>
        <w:tc>
          <w:tcPr>
            <w:tcW w:w="691" w:type="pct"/>
            <w:tcBorders>
              <w:top w:val="nil"/>
              <w:left w:val="nil"/>
              <w:bottom w:val="single" w:sz="8" w:space="0" w:color="auto"/>
              <w:right w:val="single" w:sz="8" w:space="0" w:color="auto"/>
            </w:tcBorders>
            <w:shd w:val="clear" w:color="auto" w:fill="auto"/>
            <w:noWrap/>
            <w:vAlign w:val="center"/>
            <w:hideMark/>
          </w:tcPr>
          <w:p w14:paraId="0F7654A8" w14:textId="5FA669BD"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0.00015</w:t>
            </w:r>
          </w:p>
        </w:tc>
        <w:tc>
          <w:tcPr>
            <w:tcW w:w="691" w:type="pct"/>
            <w:tcBorders>
              <w:top w:val="nil"/>
              <w:left w:val="nil"/>
              <w:bottom w:val="single" w:sz="8" w:space="0" w:color="auto"/>
              <w:right w:val="single" w:sz="8" w:space="0" w:color="auto"/>
            </w:tcBorders>
            <w:shd w:val="clear" w:color="auto" w:fill="auto"/>
            <w:noWrap/>
            <w:vAlign w:val="center"/>
            <w:hideMark/>
          </w:tcPr>
          <w:p w14:paraId="499A63AF" w14:textId="6314FE4C"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0.00035</w:t>
            </w:r>
          </w:p>
        </w:tc>
        <w:tc>
          <w:tcPr>
            <w:tcW w:w="704" w:type="pct"/>
            <w:tcBorders>
              <w:top w:val="nil"/>
              <w:left w:val="nil"/>
              <w:bottom w:val="single" w:sz="8" w:space="0" w:color="auto"/>
              <w:right w:val="single" w:sz="8" w:space="0" w:color="auto"/>
            </w:tcBorders>
            <w:shd w:val="clear" w:color="auto" w:fill="auto"/>
            <w:noWrap/>
            <w:vAlign w:val="center"/>
            <w:hideMark/>
          </w:tcPr>
          <w:p w14:paraId="42EF0252"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0.0010</w:t>
            </w:r>
          </w:p>
        </w:tc>
        <w:tc>
          <w:tcPr>
            <w:tcW w:w="563" w:type="pct"/>
            <w:tcBorders>
              <w:top w:val="nil"/>
              <w:left w:val="nil"/>
              <w:bottom w:val="single" w:sz="8" w:space="0" w:color="auto"/>
              <w:right w:val="single" w:sz="8" w:space="0" w:color="auto"/>
            </w:tcBorders>
            <w:shd w:val="clear" w:color="auto" w:fill="auto"/>
            <w:noWrap/>
            <w:vAlign w:val="center"/>
            <w:hideMark/>
          </w:tcPr>
          <w:p w14:paraId="6638E425"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0.0001</w:t>
            </w:r>
          </w:p>
        </w:tc>
      </w:tr>
      <w:tr w:rsidR="00850E6D" w:rsidRPr="00850E6D" w14:paraId="45614468" w14:textId="77777777" w:rsidTr="00850E6D">
        <w:trPr>
          <w:trHeight w:val="40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0E2769C6"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 xml:space="preserve"> Beta (daily)</w:t>
            </w:r>
          </w:p>
        </w:tc>
        <w:tc>
          <w:tcPr>
            <w:tcW w:w="449" w:type="pct"/>
            <w:tcBorders>
              <w:top w:val="nil"/>
              <w:left w:val="nil"/>
              <w:bottom w:val="single" w:sz="8" w:space="0" w:color="auto"/>
              <w:right w:val="single" w:sz="8" w:space="0" w:color="auto"/>
            </w:tcBorders>
            <w:shd w:val="clear" w:color="auto" w:fill="auto"/>
            <w:noWrap/>
            <w:vAlign w:val="center"/>
            <w:hideMark/>
          </w:tcPr>
          <w:p w14:paraId="19119963"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-0.4278</w:t>
            </w:r>
          </w:p>
        </w:tc>
        <w:tc>
          <w:tcPr>
            <w:tcW w:w="462" w:type="pct"/>
            <w:tcBorders>
              <w:top w:val="nil"/>
              <w:left w:val="nil"/>
              <w:bottom w:val="single" w:sz="8" w:space="0" w:color="auto"/>
              <w:right w:val="single" w:sz="8" w:space="0" w:color="auto"/>
            </w:tcBorders>
            <w:shd w:val="clear" w:color="auto" w:fill="auto"/>
            <w:noWrap/>
            <w:vAlign w:val="center"/>
            <w:hideMark/>
          </w:tcPr>
          <w:p w14:paraId="5336373E"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0.4000</w:t>
            </w:r>
          </w:p>
        </w:tc>
        <w:tc>
          <w:tcPr>
            <w:tcW w:w="491" w:type="pct"/>
            <w:tcBorders>
              <w:top w:val="nil"/>
              <w:left w:val="nil"/>
              <w:bottom w:val="single" w:sz="8" w:space="0" w:color="auto"/>
              <w:right w:val="single" w:sz="8" w:space="0" w:color="auto"/>
            </w:tcBorders>
            <w:shd w:val="clear" w:color="auto" w:fill="auto"/>
            <w:noWrap/>
            <w:vAlign w:val="center"/>
            <w:hideMark/>
          </w:tcPr>
          <w:p w14:paraId="61F21BEA" w14:textId="5611A32B"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3.1556</w:t>
            </w:r>
          </w:p>
        </w:tc>
        <w:tc>
          <w:tcPr>
            <w:tcW w:w="691" w:type="pct"/>
            <w:tcBorders>
              <w:top w:val="nil"/>
              <w:left w:val="nil"/>
              <w:bottom w:val="single" w:sz="8" w:space="0" w:color="auto"/>
              <w:right w:val="single" w:sz="8" w:space="0" w:color="auto"/>
            </w:tcBorders>
            <w:shd w:val="clear" w:color="auto" w:fill="auto"/>
            <w:noWrap/>
            <w:vAlign w:val="center"/>
            <w:hideMark/>
          </w:tcPr>
          <w:p w14:paraId="2025CA69"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-0.7230</w:t>
            </w:r>
          </w:p>
        </w:tc>
        <w:tc>
          <w:tcPr>
            <w:tcW w:w="691" w:type="pct"/>
            <w:tcBorders>
              <w:top w:val="nil"/>
              <w:left w:val="nil"/>
              <w:bottom w:val="single" w:sz="8" w:space="0" w:color="auto"/>
              <w:right w:val="single" w:sz="8" w:space="0" w:color="auto"/>
            </w:tcBorders>
            <w:shd w:val="clear" w:color="auto" w:fill="auto"/>
            <w:noWrap/>
            <w:vAlign w:val="center"/>
            <w:hideMark/>
          </w:tcPr>
          <w:p w14:paraId="64D2CEEC"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-0.5750</w:t>
            </w:r>
          </w:p>
        </w:tc>
        <w:tc>
          <w:tcPr>
            <w:tcW w:w="704" w:type="pct"/>
            <w:tcBorders>
              <w:top w:val="nil"/>
              <w:left w:val="nil"/>
              <w:bottom w:val="single" w:sz="8" w:space="0" w:color="auto"/>
              <w:right w:val="single" w:sz="8" w:space="0" w:color="auto"/>
            </w:tcBorders>
            <w:shd w:val="clear" w:color="auto" w:fill="auto"/>
            <w:noWrap/>
            <w:vAlign w:val="center"/>
            <w:hideMark/>
          </w:tcPr>
          <w:p w14:paraId="06591718"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-0.2610</w:t>
            </w:r>
          </w:p>
        </w:tc>
        <w:tc>
          <w:tcPr>
            <w:tcW w:w="563" w:type="pct"/>
            <w:tcBorders>
              <w:top w:val="nil"/>
              <w:left w:val="nil"/>
              <w:bottom w:val="single" w:sz="8" w:space="0" w:color="auto"/>
              <w:right w:val="single" w:sz="8" w:space="0" w:color="auto"/>
            </w:tcBorders>
            <w:shd w:val="clear" w:color="auto" w:fill="auto"/>
            <w:noWrap/>
            <w:vAlign w:val="center"/>
            <w:hideMark/>
          </w:tcPr>
          <w:p w14:paraId="22D7A1A7"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0.0031</w:t>
            </w:r>
          </w:p>
        </w:tc>
      </w:tr>
      <w:tr w:rsidR="00850E6D" w:rsidRPr="00850E6D" w14:paraId="66306DD2" w14:textId="77777777" w:rsidTr="00850E6D">
        <w:trPr>
          <w:trHeight w:val="40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3F8A213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Volatility (daily)</w:t>
            </w:r>
          </w:p>
        </w:tc>
        <w:tc>
          <w:tcPr>
            <w:tcW w:w="449" w:type="pct"/>
            <w:tcBorders>
              <w:top w:val="nil"/>
              <w:left w:val="nil"/>
              <w:bottom w:val="single" w:sz="8" w:space="0" w:color="auto"/>
              <w:right w:val="single" w:sz="8" w:space="0" w:color="auto"/>
            </w:tcBorders>
            <w:shd w:val="clear" w:color="auto" w:fill="auto"/>
            <w:noWrap/>
            <w:vAlign w:val="center"/>
            <w:hideMark/>
          </w:tcPr>
          <w:p w14:paraId="31296093"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0.0073</w:t>
            </w:r>
          </w:p>
        </w:tc>
        <w:tc>
          <w:tcPr>
            <w:tcW w:w="462" w:type="pct"/>
            <w:tcBorders>
              <w:top w:val="nil"/>
              <w:left w:val="nil"/>
              <w:bottom w:val="single" w:sz="8" w:space="0" w:color="auto"/>
              <w:right w:val="single" w:sz="8" w:space="0" w:color="auto"/>
            </w:tcBorders>
            <w:shd w:val="clear" w:color="auto" w:fill="auto"/>
            <w:noWrap/>
            <w:vAlign w:val="center"/>
            <w:hideMark/>
          </w:tcPr>
          <w:p w14:paraId="1B6AAB37"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0.0233</w:t>
            </w:r>
          </w:p>
        </w:tc>
        <w:tc>
          <w:tcPr>
            <w:tcW w:w="491" w:type="pct"/>
            <w:tcBorders>
              <w:top w:val="nil"/>
              <w:left w:val="nil"/>
              <w:bottom w:val="single" w:sz="8" w:space="0" w:color="auto"/>
              <w:right w:val="single" w:sz="8" w:space="0" w:color="auto"/>
            </w:tcBorders>
            <w:shd w:val="clear" w:color="auto" w:fill="auto"/>
            <w:noWrap/>
            <w:vAlign w:val="center"/>
            <w:hideMark/>
          </w:tcPr>
          <w:p w14:paraId="66371F37" w14:textId="39964CEB"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0.1986</w:t>
            </w:r>
          </w:p>
        </w:tc>
        <w:tc>
          <w:tcPr>
            <w:tcW w:w="691" w:type="pct"/>
            <w:tcBorders>
              <w:top w:val="nil"/>
              <w:left w:val="nil"/>
              <w:bottom w:val="single" w:sz="8" w:space="0" w:color="auto"/>
              <w:right w:val="single" w:sz="8" w:space="0" w:color="auto"/>
            </w:tcBorders>
            <w:shd w:val="clear" w:color="auto" w:fill="auto"/>
            <w:noWrap/>
            <w:vAlign w:val="center"/>
            <w:hideMark/>
          </w:tcPr>
          <w:p w14:paraId="6BB570B2"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0.0080</w:t>
            </w:r>
          </w:p>
        </w:tc>
        <w:tc>
          <w:tcPr>
            <w:tcW w:w="691" w:type="pct"/>
            <w:tcBorders>
              <w:top w:val="nil"/>
              <w:left w:val="nil"/>
              <w:bottom w:val="single" w:sz="8" w:space="0" w:color="auto"/>
              <w:right w:val="single" w:sz="8" w:space="0" w:color="auto"/>
            </w:tcBorders>
            <w:shd w:val="clear" w:color="auto" w:fill="auto"/>
            <w:noWrap/>
            <w:vAlign w:val="center"/>
            <w:hideMark/>
          </w:tcPr>
          <w:p w14:paraId="2AB15633"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0.0080</w:t>
            </w:r>
          </w:p>
        </w:tc>
        <w:tc>
          <w:tcPr>
            <w:tcW w:w="704" w:type="pct"/>
            <w:tcBorders>
              <w:top w:val="nil"/>
              <w:left w:val="nil"/>
              <w:bottom w:val="single" w:sz="8" w:space="0" w:color="auto"/>
              <w:right w:val="single" w:sz="8" w:space="0" w:color="auto"/>
            </w:tcBorders>
            <w:shd w:val="clear" w:color="auto" w:fill="auto"/>
            <w:noWrap/>
            <w:vAlign w:val="center"/>
            <w:hideMark/>
          </w:tcPr>
          <w:p w14:paraId="7044ADFA"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0.0100</w:t>
            </w:r>
          </w:p>
        </w:tc>
        <w:tc>
          <w:tcPr>
            <w:tcW w:w="563" w:type="pct"/>
            <w:tcBorders>
              <w:top w:val="nil"/>
              <w:left w:val="nil"/>
              <w:bottom w:val="single" w:sz="8" w:space="0" w:color="auto"/>
              <w:right w:val="single" w:sz="8" w:space="0" w:color="auto"/>
            </w:tcBorders>
            <w:shd w:val="clear" w:color="auto" w:fill="auto"/>
            <w:noWrap/>
            <w:vAlign w:val="center"/>
            <w:hideMark/>
          </w:tcPr>
          <w:p w14:paraId="15D34CA7"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0.0008</w:t>
            </w:r>
          </w:p>
        </w:tc>
      </w:tr>
      <w:tr w:rsidR="00850E6D" w:rsidRPr="00850E6D" w14:paraId="14E6D355" w14:textId="77777777" w:rsidTr="00850E6D">
        <w:trPr>
          <w:trHeight w:val="28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6AF1F23E"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Max Drawdown</w:t>
            </w:r>
          </w:p>
        </w:tc>
        <w:tc>
          <w:tcPr>
            <w:tcW w:w="449" w:type="pct"/>
            <w:tcBorders>
              <w:top w:val="nil"/>
              <w:left w:val="nil"/>
              <w:bottom w:val="single" w:sz="8" w:space="0" w:color="auto"/>
              <w:right w:val="single" w:sz="8" w:space="0" w:color="auto"/>
            </w:tcBorders>
            <w:shd w:val="clear" w:color="auto" w:fill="auto"/>
            <w:noWrap/>
            <w:vAlign w:val="center"/>
            <w:hideMark/>
          </w:tcPr>
          <w:p w14:paraId="5EE7365F"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-0.1910</w:t>
            </w:r>
          </w:p>
        </w:tc>
        <w:tc>
          <w:tcPr>
            <w:tcW w:w="462" w:type="pct"/>
            <w:tcBorders>
              <w:top w:val="nil"/>
              <w:left w:val="nil"/>
              <w:bottom w:val="single" w:sz="8" w:space="0" w:color="auto"/>
              <w:right w:val="single" w:sz="8" w:space="0" w:color="auto"/>
            </w:tcBorders>
            <w:shd w:val="clear" w:color="auto" w:fill="auto"/>
            <w:noWrap/>
            <w:vAlign w:val="center"/>
            <w:hideMark/>
          </w:tcPr>
          <w:p w14:paraId="671DD278"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-0.5036</w:t>
            </w:r>
          </w:p>
        </w:tc>
        <w:tc>
          <w:tcPr>
            <w:tcW w:w="491" w:type="pct"/>
            <w:tcBorders>
              <w:top w:val="nil"/>
              <w:left w:val="nil"/>
              <w:bottom w:val="single" w:sz="8" w:space="0" w:color="auto"/>
              <w:right w:val="single" w:sz="8" w:space="0" w:color="auto"/>
            </w:tcBorders>
            <w:shd w:val="clear" w:color="auto" w:fill="auto"/>
            <w:noWrap/>
            <w:vAlign w:val="center"/>
            <w:hideMark/>
          </w:tcPr>
          <w:p w14:paraId="7E203E60" w14:textId="135EDECE"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-13.3919</w:t>
            </w:r>
          </w:p>
        </w:tc>
        <w:tc>
          <w:tcPr>
            <w:tcW w:w="691" w:type="pct"/>
            <w:tcBorders>
              <w:top w:val="nil"/>
              <w:left w:val="nil"/>
              <w:bottom w:val="single" w:sz="8" w:space="0" w:color="auto"/>
              <w:right w:val="single" w:sz="8" w:space="0" w:color="auto"/>
            </w:tcBorders>
            <w:shd w:val="clear" w:color="auto" w:fill="auto"/>
            <w:noWrap/>
            <w:vAlign w:val="center"/>
            <w:hideMark/>
          </w:tcPr>
          <w:p w14:paraId="3605E196"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-0.2230</w:t>
            </w:r>
          </w:p>
        </w:tc>
        <w:tc>
          <w:tcPr>
            <w:tcW w:w="691" w:type="pct"/>
            <w:tcBorders>
              <w:top w:val="nil"/>
              <w:left w:val="nil"/>
              <w:bottom w:val="single" w:sz="8" w:space="0" w:color="auto"/>
              <w:right w:val="single" w:sz="8" w:space="0" w:color="auto"/>
            </w:tcBorders>
            <w:shd w:val="clear" w:color="auto" w:fill="auto"/>
            <w:noWrap/>
            <w:vAlign w:val="center"/>
            <w:hideMark/>
          </w:tcPr>
          <w:p w14:paraId="1AAC02F3"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-0.1700</w:t>
            </w:r>
          </w:p>
        </w:tc>
        <w:tc>
          <w:tcPr>
            <w:tcW w:w="704" w:type="pct"/>
            <w:tcBorders>
              <w:top w:val="nil"/>
              <w:left w:val="nil"/>
              <w:bottom w:val="single" w:sz="8" w:space="0" w:color="auto"/>
              <w:right w:val="single" w:sz="8" w:space="0" w:color="auto"/>
            </w:tcBorders>
            <w:shd w:val="clear" w:color="auto" w:fill="auto"/>
            <w:noWrap/>
            <w:vAlign w:val="center"/>
            <w:hideMark/>
          </w:tcPr>
          <w:p w14:paraId="53F9D461"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-0.2070</w:t>
            </w:r>
          </w:p>
        </w:tc>
        <w:tc>
          <w:tcPr>
            <w:tcW w:w="563" w:type="pct"/>
            <w:tcBorders>
              <w:top w:val="nil"/>
              <w:left w:val="nil"/>
              <w:bottom w:val="single" w:sz="8" w:space="0" w:color="auto"/>
              <w:right w:val="single" w:sz="8" w:space="0" w:color="auto"/>
            </w:tcBorders>
            <w:shd w:val="clear" w:color="auto" w:fill="auto"/>
            <w:noWrap/>
            <w:vAlign w:val="center"/>
            <w:hideMark/>
          </w:tcPr>
          <w:p w14:paraId="32557E9B"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-0.0131</w:t>
            </w:r>
          </w:p>
        </w:tc>
      </w:tr>
      <w:tr w:rsidR="00850E6D" w:rsidRPr="00850E6D" w14:paraId="5A71AB6E" w14:textId="77777777" w:rsidTr="00850E6D">
        <w:trPr>
          <w:trHeight w:val="34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7646213E"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lastRenderedPageBreak/>
              <w:t>Avg. Information Ratio (Annualised)</w:t>
            </w:r>
          </w:p>
        </w:tc>
        <w:tc>
          <w:tcPr>
            <w:tcW w:w="449" w:type="pct"/>
            <w:tcBorders>
              <w:top w:val="nil"/>
              <w:left w:val="nil"/>
              <w:bottom w:val="single" w:sz="8" w:space="0" w:color="auto"/>
              <w:right w:val="single" w:sz="8" w:space="0" w:color="auto"/>
            </w:tcBorders>
            <w:shd w:val="clear" w:color="auto" w:fill="auto"/>
            <w:noWrap/>
            <w:vAlign w:val="center"/>
            <w:hideMark/>
          </w:tcPr>
          <w:p w14:paraId="7B763EA8"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2.4763</w:t>
            </w:r>
          </w:p>
        </w:tc>
        <w:tc>
          <w:tcPr>
            <w:tcW w:w="462" w:type="pct"/>
            <w:tcBorders>
              <w:top w:val="nil"/>
              <w:left w:val="nil"/>
              <w:bottom w:val="single" w:sz="8" w:space="0" w:color="auto"/>
              <w:right w:val="single" w:sz="8" w:space="0" w:color="auto"/>
            </w:tcBorders>
            <w:shd w:val="clear" w:color="auto" w:fill="auto"/>
            <w:noWrap/>
            <w:vAlign w:val="center"/>
            <w:hideMark/>
          </w:tcPr>
          <w:p w14:paraId="024EAC0B"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3.1850</w:t>
            </w:r>
          </w:p>
        </w:tc>
        <w:tc>
          <w:tcPr>
            <w:tcW w:w="491" w:type="pct"/>
            <w:tcBorders>
              <w:top w:val="nil"/>
              <w:left w:val="nil"/>
              <w:bottom w:val="single" w:sz="8" w:space="0" w:color="auto"/>
              <w:right w:val="single" w:sz="8" w:space="0" w:color="auto"/>
            </w:tcBorders>
            <w:shd w:val="clear" w:color="auto" w:fill="auto"/>
            <w:noWrap/>
            <w:vAlign w:val="center"/>
            <w:hideMark/>
          </w:tcPr>
          <w:p w14:paraId="1F2AE2F6" w14:textId="51E683E6"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2.4338</w:t>
            </w:r>
          </w:p>
        </w:tc>
        <w:tc>
          <w:tcPr>
            <w:tcW w:w="691" w:type="pct"/>
            <w:tcBorders>
              <w:top w:val="nil"/>
              <w:left w:val="nil"/>
              <w:bottom w:val="single" w:sz="8" w:space="0" w:color="auto"/>
              <w:right w:val="single" w:sz="8" w:space="0" w:color="auto"/>
            </w:tcBorders>
            <w:shd w:val="clear" w:color="auto" w:fill="auto"/>
            <w:noWrap/>
            <w:vAlign w:val="center"/>
            <w:hideMark/>
          </w:tcPr>
          <w:p w14:paraId="4B51BD5A"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-0.3850</w:t>
            </w:r>
          </w:p>
        </w:tc>
        <w:tc>
          <w:tcPr>
            <w:tcW w:w="691" w:type="pct"/>
            <w:tcBorders>
              <w:top w:val="nil"/>
              <w:left w:val="nil"/>
              <w:bottom w:val="single" w:sz="8" w:space="0" w:color="auto"/>
              <w:right w:val="single" w:sz="8" w:space="0" w:color="auto"/>
            </w:tcBorders>
            <w:shd w:val="clear" w:color="auto" w:fill="auto"/>
            <w:noWrap/>
            <w:vAlign w:val="center"/>
            <w:hideMark/>
          </w:tcPr>
          <w:p w14:paraId="19DA0934"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2.0230</w:t>
            </w:r>
          </w:p>
        </w:tc>
        <w:tc>
          <w:tcPr>
            <w:tcW w:w="704" w:type="pct"/>
            <w:tcBorders>
              <w:top w:val="nil"/>
              <w:left w:val="nil"/>
              <w:bottom w:val="single" w:sz="8" w:space="0" w:color="auto"/>
              <w:right w:val="single" w:sz="8" w:space="0" w:color="auto"/>
            </w:tcBorders>
            <w:shd w:val="clear" w:color="auto" w:fill="auto"/>
            <w:noWrap/>
            <w:vAlign w:val="center"/>
            <w:hideMark/>
          </w:tcPr>
          <w:p w14:paraId="5C9FCBC2"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2.4480</w:t>
            </w:r>
          </w:p>
        </w:tc>
        <w:tc>
          <w:tcPr>
            <w:tcW w:w="563" w:type="pct"/>
            <w:tcBorders>
              <w:top w:val="nil"/>
              <w:left w:val="nil"/>
              <w:bottom w:val="single" w:sz="8" w:space="0" w:color="auto"/>
              <w:right w:val="single" w:sz="8" w:space="0" w:color="auto"/>
            </w:tcBorders>
            <w:shd w:val="clear" w:color="auto" w:fill="auto"/>
            <w:noWrap/>
            <w:vAlign w:val="center"/>
            <w:hideMark/>
          </w:tcPr>
          <w:p w14:paraId="7958B055"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n/a**</w:t>
            </w:r>
          </w:p>
        </w:tc>
      </w:tr>
    </w:tbl>
    <w:p w14:paraId="76BBF870" w14:textId="55422F56" w:rsidR="00850E6D" w:rsidRDefault="00850E6D">
      <w:pPr>
        <w:rPr>
          <w:sz w:val="20"/>
          <w:szCs w:val="20"/>
          <w:lang w:val="en-US"/>
        </w:rPr>
      </w:pPr>
    </w:p>
    <w:p w14:paraId="671ECA9C" w14:textId="234FB0BE" w:rsidR="00B659C8" w:rsidRDefault="00B659C8">
      <w:pPr>
        <w:rPr>
          <w:sz w:val="20"/>
          <w:szCs w:val="20"/>
          <w:lang w:val="en-US"/>
        </w:rPr>
      </w:pPr>
      <w:r>
        <w:rPr>
          <w:sz w:val="20"/>
          <w:szCs w:val="20"/>
          <w:lang w:val="en-US"/>
        </w:rPr>
        <w:t>** Too large due to infrequent trading</w:t>
      </w:r>
    </w:p>
    <w:p w14:paraId="0BC68E07" w14:textId="77777777" w:rsidR="00B8212B" w:rsidRDefault="00B8212B" w:rsidP="00B8212B">
      <w:pPr>
        <w:pStyle w:val="ListParagraph"/>
        <w:ind w:left="0"/>
        <w:rPr>
          <w:sz w:val="20"/>
          <w:szCs w:val="20"/>
          <w:lang w:val="en-US"/>
        </w:rPr>
      </w:pPr>
    </w:p>
    <w:p w14:paraId="2436E443" w14:textId="77777777" w:rsidR="00720E68" w:rsidRDefault="00720E68" w:rsidP="00720E68">
      <w:pPr>
        <w:pStyle w:val="ListParagraph"/>
        <w:ind w:left="0"/>
        <w:rPr>
          <w:sz w:val="20"/>
          <w:szCs w:val="20"/>
          <w:lang w:val="en-US"/>
        </w:rPr>
      </w:pPr>
      <w:r>
        <w:rPr>
          <w:sz w:val="20"/>
          <w:szCs w:val="20"/>
          <w:lang w:val="en-US"/>
        </w:rPr>
        <w:t>Transaction cost</w:t>
      </w:r>
    </w:p>
    <w:p w14:paraId="68DFB6AE" w14:textId="77777777" w:rsidR="00720E68" w:rsidRDefault="00720E68" w:rsidP="00720E68">
      <w:pPr>
        <w:pStyle w:val="ListParagraph"/>
        <w:ind w:left="0"/>
        <w:rPr>
          <w:sz w:val="20"/>
          <w:szCs w:val="20"/>
          <w:lang w:val="en-US"/>
        </w:rPr>
      </w:pPr>
    </w:p>
    <w:p w14:paraId="697010F8" w14:textId="5B5DC04F" w:rsidR="00A71B11" w:rsidRDefault="00720E68" w:rsidP="00720E68">
      <w:pPr>
        <w:pStyle w:val="ListParagraph"/>
        <w:ind w:left="0"/>
        <w:rPr>
          <w:sz w:val="20"/>
          <w:szCs w:val="20"/>
          <w:lang w:val="en-US"/>
        </w:rPr>
      </w:pPr>
      <w:r>
        <w:rPr>
          <w:sz w:val="20"/>
          <w:szCs w:val="20"/>
          <w:lang w:val="en-US"/>
        </w:rPr>
        <w:t xml:space="preserve">Everything so far have ignored transaction cost as </w:t>
      </w:r>
      <w:r w:rsidR="006A25E4">
        <w:rPr>
          <w:sz w:val="20"/>
          <w:szCs w:val="20"/>
          <w:lang w:val="en-US"/>
        </w:rPr>
        <w:t>I simply used cumulative returns. For this strategy to work to its entirety as in the backtest here, one would require daily rebalancing</w:t>
      </w:r>
      <w:r w:rsidR="005E205B">
        <w:rPr>
          <w:sz w:val="20"/>
          <w:szCs w:val="20"/>
          <w:lang w:val="en-US"/>
        </w:rPr>
        <w:t xml:space="preserve"> (most likely not possible)</w:t>
      </w:r>
      <w:r w:rsidR="006A25E4">
        <w:rPr>
          <w:sz w:val="20"/>
          <w:szCs w:val="20"/>
          <w:lang w:val="en-US"/>
        </w:rPr>
        <w:t xml:space="preserve">, large capital size or the ability to buy fractional shares (or most likely forego trade opportunity). Other cost such as slippage, illiquid stocks with no market maker are also largely ignored. All the above would drive out the profitability of the strategy. </w:t>
      </w:r>
      <w:r w:rsidR="005E205B">
        <w:rPr>
          <w:sz w:val="20"/>
          <w:szCs w:val="20"/>
          <w:lang w:val="en-US"/>
        </w:rPr>
        <w:t xml:space="preserve">Last I checked on the brokerage IG trades are charged 0.1% for EU stocks and 3GBP per trade. If we </w:t>
      </w:r>
      <w:r w:rsidR="009B3FFA">
        <w:rPr>
          <w:sz w:val="20"/>
          <w:szCs w:val="20"/>
          <w:lang w:val="en-US"/>
        </w:rPr>
        <w:t>approximate</w:t>
      </w:r>
      <w:r w:rsidR="005E205B">
        <w:rPr>
          <w:sz w:val="20"/>
          <w:szCs w:val="20"/>
          <w:lang w:val="en-US"/>
        </w:rPr>
        <w:t xml:space="preserve"> 0.1% </w:t>
      </w:r>
      <w:r w:rsidR="00A71B11">
        <w:rPr>
          <w:sz w:val="20"/>
          <w:szCs w:val="20"/>
          <w:lang w:val="en-US"/>
        </w:rPr>
        <w:t>weekly</w:t>
      </w:r>
      <w:r w:rsidR="005E205B">
        <w:rPr>
          <w:sz w:val="20"/>
          <w:szCs w:val="20"/>
          <w:lang w:val="en-US"/>
        </w:rPr>
        <w:t xml:space="preserve"> return deduction from our return</w:t>
      </w:r>
      <w:r w:rsidR="007863F3">
        <w:rPr>
          <w:sz w:val="20"/>
          <w:szCs w:val="20"/>
          <w:lang w:val="en-US"/>
        </w:rPr>
        <w:t xml:space="preserve"> due to </w:t>
      </w:r>
      <w:r w:rsidR="00A71B11">
        <w:rPr>
          <w:sz w:val="20"/>
          <w:szCs w:val="20"/>
          <w:lang w:val="en-US"/>
        </w:rPr>
        <w:t>rebalancing</w:t>
      </w:r>
      <w:r w:rsidR="009B3FFA">
        <w:rPr>
          <w:sz w:val="20"/>
          <w:szCs w:val="20"/>
          <w:lang w:val="en-US"/>
        </w:rPr>
        <w:t xml:space="preserve"> weekly</w:t>
      </w:r>
      <w:r w:rsidR="005E205B">
        <w:rPr>
          <w:sz w:val="20"/>
          <w:szCs w:val="20"/>
          <w:lang w:val="en-US"/>
        </w:rPr>
        <w:t xml:space="preserve">, </w:t>
      </w:r>
      <w:r w:rsidR="00C01FE0">
        <w:rPr>
          <w:sz w:val="20"/>
          <w:szCs w:val="20"/>
          <w:lang w:val="en-US"/>
        </w:rPr>
        <w:t xml:space="preserve">profitability has </w:t>
      </w:r>
      <w:r w:rsidR="008B39CB">
        <w:rPr>
          <w:sz w:val="20"/>
          <w:szCs w:val="20"/>
          <w:lang w:val="en-US"/>
        </w:rPr>
        <w:t>been dampened</w:t>
      </w:r>
      <w:r w:rsidR="009B3FFA">
        <w:rPr>
          <w:sz w:val="20"/>
          <w:szCs w:val="20"/>
          <w:lang w:val="en-US"/>
        </w:rPr>
        <w:t xml:space="preserve"> around 26% overall</w:t>
      </w:r>
      <w:r w:rsidR="00D339F1">
        <w:rPr>
          <w:sz w:val="20"/>
          <w:szCs w:val="20"/>
          <w:lang w:val="en-US"/>
        </w:rPr>
        <w:t xml:space="preserve"> (percentage in brackets)</w:t>
      </w:r>
      <w:r w:rsidR="00A71B11">
        <w:rPr>
          <w:sz w:val="20"/>
          <w:szCs w:val="20"/>
          <w:lang w:val="en-US"/>
        </w:rPr>
        <w:t>.</w:t>
      </w:r>
    </w:p>
    <w:p w14:paraId="0B47D92E" w14:textId="77777777" w:rsidR="005E205B" w:rsidRDefault="005E205B" w:rsidP="00720E68">
      <w:pPr>
        <w:pStyle w:val="ListParagraph"/>
        <w:ind w:left="0"/>
        <w:rPr>
          <w:sz w:val="20"/>
          <w:szCs w:val="20"/>
          <w:lang w:val="en-US"/>
        </w:rPr>
      </w:pPr>
      <w:r>
        <w:rPr>
          <w:sz w:val="20"/>
          <w:szCs w:val="20"/>
          <w:lang w:val="en-US"/>
        </w:rPr>
        <w:t xml:space="preserve"> </w:t>
      </w:r>
    </w:p>
    <w:tbl>
      <w:tblPr>
        <w:tblStyle w:val="TableGrid"/>
        <w:tblW w:w="5000" w:type="pct"/>
        <w:tblLook w:val="04A0" w:firstRow="1" w:lastRow="0" w:firstColumn="1" w:lastColumn="0" w:noHBand="0" w:noVBand="1"/>
      </w:tblPr>
      <w:tblGrid>
        <w:gridCol w:w="1879"/>
        <w:gridCol w:w="1200"/>
        <w:gridCol w:w="1233"/>
        <w:gridCol w:w="1321"/>
        <w:gridCol w:w="1833"/>
        <w:gridCol w:w="1544"/>
      </w:tblGrid>
      <w:tr w:rsidR="008B39CB" w:rsidRPr="007A741F" w14:paraId="244B0385" w14:textId="77777777" w:rsidTr="008B39CB">
        <w:trPr>
          <w:trHeight w:val="496"/>
        </w:trPr>
        <w:tc>
          <w:tcPr>
            <w:tcW w:w="1042" w:type="pct"/>
          </w:tcPr>
          <w:p w14:paraId="5E638071" w14:textId="77777777" w:rsidR="00A71B11" w:rsidRPr="007A741F" w:rsidRDefault="00A71B11" w:rsidP="0067738E">
            <w:pPr>
              <w:rPr>
                <w:sz w:val="18"/>
                <w:szCs w:val="18"/>
              </w:rPr>
            </w:pPr>
            <w:r w:rsidRPr="007A741F">
              <w:rPr>
                <w:sz w:val="18"/>
                <w:szCs w:val="18"/>
              </w:rPr>
              <w:t>Metrics\Portfolio</w:t>
            </w:r>
          </w:p>
        </w:tc>
        <w:tc>
          <w:tcPr>
            <w:tcW w:w="666" w:type="pct"/>
          </w:tcPr>
          <w:p w14:paraId="2A435AE0" w14:textId="77777777" w:rsidR="00A71B11" w:rsidRPr="007A741F" w:rsidRDefault="00A71B11" w:rsidP="0067738E">
            <w:pPr>
              <w:rPr>
                <w:sz w:val="18"/>
                <w:szCs w:val="18"/>
              </w:rPr>
            </w:pPr>
            <w:r w:rsidRPr="007A741F">
              <w:rPr>
                <w:sz w:val="18"/>
                <w:szCs w:val="18"/>
              </w:rPr>
              <w:t>Given (Binary)</w:t>
            </w:r>
          </w:p>
        </w:tc>
        <w:tc>
          <w:tcPr>
            <w:tcW w:w="684" w:type="pct"/>
          </w:tcPr>
          <w:p w14:paraId="75020575" w14:textId="77777777" w:rsidR="00A71B11" w:rsidRPr="007A741F" w:rsidRDefault="00A71B11" w:rsidP="0067738E">
            <w:pPr>
              <w:rPr>
                <w:sz w:val="18"/>
                <w:szCs w:val="18"/>
              </w:rPr>
            </w:pPr>
            <w:r w:rsidRPr="007A741F">
              <w:rPr>
                <w:sz w:val="18"/>
                <w:szCs w:val="18"/>
              </w:rPr>
              <w:t>20_50 (Binary)</w:t>
            </w:r>
          </w:p>
        </w:tc>
        <w:tc>
          <w:tcPr>
            <w:tcW w:w="733" w:type="pct"/>
          </w:tcPr>
          <w:p w14:paraId="699861A5" w14:textId="77777777" w:rsidR="00A71B11" w:rsidRPr="007A741F" w:rsidRDefault="00A71B11" w:rsidP="0067738E">
            <w:pPr>
              <w:rPr>
                <w:sz w:val="18"/>
                <w:szCs w:val="18"/>
              </w:rPr>
            </w:pPr>
            <w:r w:rsidRPr="007A741F">
              <w:rPr>
                <w:sz w:val="18"/>
                <w:szCs w:val="18"/>
              </w:rPr>
              <w:t>50_150 (Binary)</w:t>
            </w:r>
          </w:p>
        </w:tc>
        <w:tc>
          <w:tcPr>
            <w:tcW w:w="1017" w:type="pct"/>
          </w:tcPr>
          <w:p w14:paraId="15E6F8CC" w14:textId="77777777" w:rsidR="00A71B11" w:rsidRPr="007A741F" w:rsidRDefault="00A71B11" w:rsidP="0067738E">
            <w:pPr>
              <w:rPr>
                <w:sz w:val="18"/>
                <w:szCs w:val="18"/>
              </w:rPr>
            </w:pPr>
            <w:r w:rsidRPr="007A741F">
              <w:rPr>
                <w:sz w:val="18"/>
                <w:szCs w:val="18"/>
              </w:rPr>
              <w:t xml:space="preserve">Combined Signal(0,1,2) </w:t>
            </w:r>
          </w:p>
        </w:tc>
        <w:tc>
          <w:tcPr>
            <w:tcW w:w="857" w:type="pct"/>
          </w:tcPr>
          <w:p w14:paraId="58E35544" w14:textId="77777777" w:rsidR="00A71B11" w:rsidRPr="007A741F" w:rsidRDefault="00A71B11" w:rsidP="0067738E">
            <w:pPr>
              <w:rPr>
                <w:sz w:val="18"/>
                <w:szCs w:val="18"/>
              </w:rPr>
            </w:pPr>
            <w:r w:rsidRPr="007A741F">
              <w:rPr>
                <w:sz w:val="18"/>
                <w:szCs w:val="18"/>
              </w:rPr>
              <w:t>Minimum Variance</w:t>
            </w:r>
          </w:p>
        </w:tc>
      </w:tr>
      <w:tr w:rsidR="008B39CB" w:rsidRPr="007A741F" w14:paraId="735F886C" w14:textId="77777777" w:rsidTr="008B39CB">
        <w:trPr>
          <w:trHeight w:val="237"/>
        </w:trPr>
        <w:tc>
          <w:tcPr>
            <w:tcW w:w="1042" w:type="pct"/>
          </w:tcPr>
          <w:p w14:paraId="6CD2DBC8" w14:textId="77777777" w:rsidR="00A71B11" w:rsidRPr="007A741F" w:rsidRDefault="00A71B11" w:rsidP="0067738E">
            <w:pPr>
              <w:rPr>
                <w:sz w:val="18"/>
                <w:szCs w:val="18"/>
              </w:rPr>
            </w:pPr>
            <w:r w:rsidRPr="007A741F">
              <w:rPr>
                <w:sz w:val="18"/>
                <w:szCs w:val="18"/>
              </w:rPr>
              <w:t>Profitability(End Equity)</w:t>
            </w:r>
          </w:p>
        </w:tc>
        <w:tc>
          <w:tcPr>
            <w:tcW w:w="666" w:type="pct"/>
          </w:tcPr>
          <w:p w14:paraId="70467905" w14:textId="52570B10" w:rsidR="00A71B11" w:rsidRPr="007A741F" w:rsidRDefault="00FD2A72" w:rsidP="0067738E">
            <w:pPr>
              <w:rPr>
                <w:sz w:val="18"/>
                <w:szCs w:val="18"/>
              </w:rPr>
            </w:pPr>
            <w:r>
              <w:rPr>
                <w:sz w:val="18"/>
                <w:szCs w:val="18"/>
              </w:rPr>
              <w:t xml:space="preserve">1.038 </w:t>
            </w:r>
            <w:r w:rsidR="00C01FE0">
              <w:rPr>
                <w:sz w:val="18"/>
                <w:szCs w:val="18"/>
              </w:rPr>
              <w:t>(</w:t>
            </w:r>
            <w:r w:rsidR="00850E6D">
              <w:rPr>
                <w:sz w:val="18"/>
                <w:szCs w:val="18"/>
              </w:rPr>
              <w:t>30</w:t>
            </w:r>
            <w:r w:rsidR="00B4197A">
              <w:rPr>
                <w:sz w:val="18"/>
                <w:szCs w:val="18"/>
              </w:rPr>
              <w:t>%)</w:t>
            </w:r>
          </w:p>
        </w:tc>
        <w:tc>
          <w:tcPr>
            <w:tcW w:w="684" w:type="pct"/>
          </w:tcPr>
          <w:p w14:paraId="5A9DAE46" w14:textId="19ED3ED5" w:rsidR="00A71B11" w:rsidRPr="007A741F" w:rsidRDefault="00FD2A72" w:rsidP="00A71B11">
            <w:pPr>
              <w:rPr>
                <w:sz w:val="18"/>
                <w:szCs w:val="18"/>
              </w:rPr>
            </w:pPr>
            <w:r>
              <w:rPr>
                <w:sz w:val="18"/>
                <w:szCs w:val="18"/>
              </w:rPr>
              <w:t>3.290</w:t>
            </w:r>
            <w:r w:rsidR="00A801DE">
              <w:rPr>
                <w:sz w:val="18"/>
                <w:szCs w:val="18"/>
              </w:rPr>
              <w:t xml:space="preserve"> </w:t>
            </w:r>
            <w:r w:rsidR="00D339F1">
              <w:rPr>
                <w:sz w:val="18"/>
                <w:szCs w:val="18"/>
              </w:rPr>
              <w:t>(</w:t>
            </w:r>
            <w:r w:rsidR="008B39CB">
              <w:rPr>
                <w:sz w:val="18"/>
                <w:szCs w:val="18"/>
              </w:rPr>
              <w:t>27%)</w:t>
            </w:r>
          </w:p>
        </w:tc>
        <w:tc>
          <w:tcPr>
            <w:tcW w:w="733" w:type="pct"/>
          </w:tcPr>
          <w:p w14:paraId="6E339E33" w14:textId="5D951AB9" w:rsidR="00A71B11" w:rsidRPr="007A741F" w:rsidRDefault="00FD2A72" w:rsidP="0067738E">
            <w:pPr>
              <w:rPr>
                <w:sz w:val="18"/>
                <w:szCs w:val="18"/>
              </w:rPr>
            </w:pPr>
            <w:r>
              <w:rPr>
                <w:sz w:val="18"/>
                <w:szCs w:val="18"/>
              </w:rPr>
              <w:t>4.419x</w:t>
            </w:r>
            <w:r w:rsidR="00D339F1">
              <w:rPr>
                <w:sz w:val="18"/>
                <w:szCs w:val="18"/>
              </w:rPr>
              <w:t xml:space="preserve"> (</w:t>
            </w:r>
            <w:r w:rsidR="008B39CB">
              <w:rPr>
                <w:sz w:val="18"/>
                <w:szCs w:val="18"/>
              </w:rPr>
              <w:t>27%)</w:t>
            </w:r>
          </w:p>
        </w:tc>
        <w:tc>
          <w:tcPr>
            <w:tcW w:w="1017" w:type="pct"/>
          </w:tcPr>
          <w:p w14:paraId="6AC8FEA8" w14:textId="70B51F28" w:rsidR="00A71B11" w:rsidRDefault="00A71B11" w:rsidP="00A8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18"/>
                <w:szCs w:val="18"/>
                <w:lang w:eastAsia="en-GB"/>
              </w:rPr>
            </w:pPr>
            <w:r>
              <w:rPr>
                <w:rFonts w:cs="Courier New"/>
                <w:color w:val="000000"/>
                <w:sz w:val="18"/>
                <w:szCs w:val="18"/>
                <w:lang w:eastAsia="en-GB"/>
              </w:rPr>
              <w:t>0</w:t>
            </w:r>
            <w:r w:rsidRPr="00AC13E9">
              <w:rPr>
                <w:rFonts w:cs="Courier New"/>
                <w:color w:val="000000"/>
                <w:sz w:val="18"/>
                <w:szCs w:val="18"/>
                <w:lang w:eastAsia="en-GB"/>
              </w:rPr>
              <w:t>.</w:t>
            </w:r>
            <w:r w:rsidR="00FD2A72">
              <w:rPr>
                <w:rFonts w:cs="Courier New"/>
                <w:color w:val="000000"/>
                <w:sz w:val="18"/>
                <w:szCs w:val="18"/>
                <w:lang w:eastAsia="en-GB"/>
              </w:rPr>
              <w:t>729</w:t>
            </w:r>
            <w:r>
              <w:rPr>
                <w:rFonts w:cs="Courier New"/>
                <w:color w:val="000000"/>
                <w:sz w:val="18"/>
                <w:szCs w:val="18"/>
                <w:lang w:eastAsia="en-GB"/>
              </w:rPr>
              <w:t xml:space="preserve">, </w:t>
            </w:r>
            <w:r w:rsidR="00FD2A72">
              <w:rPr>
                <w:rFonts w:cs="Courier New"/>
                <w:color w:val="000000"/>
                <w:sz w:val="18"/>
                <w:szCs w:val="18"/>
                <w:lang w:eastAsia="en-GB"/>
              </w:rPr>
              <w:t>0.510, 0.254</w:t>
            </w:r>
          </w:p>
          <w:p w14:paraId="4D490483" w14:textId="3BDE5590" w:rsidR="008B39CB" w:rsidRPr="007A741F" w:rsidRDefault="008B39CB" w:rsidP="00A8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18"/>
                <w:szCs w:val="18"/>
                <w:lang w:eastAsia="en-GB"/>
              </w:rPr>
            </w:pPr>
            <w:r>
              <w:rPr>
                <w:rFonts w:cs="Courier New"/>
                <w:color w:val="000000"/>
                <w:sz w:val="18"/>
                <w:szCs w:val="18"/>
                <w:lang w:eastAsia="en-GB"/>
              </w:rPr>
              <w:t>(25%, 24%, 24%)</w:t>
            </w:r>
          </w:p>
        </w:tc>
        <w:tc>
          <w:tcPr>
            <w:tcW w:w="857" w:type="pct"/>
          </w:tcPr>
          <w:p w14:paraId="053EE458" w14:textId="7D3FCDA4" w:rsidR="00A71B11" w:rsidRPr="007A741F" w:rsidRDefault="00FD2A72" w:rsidP="00677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18"/>
                <w:szCs w:val="18"/>
                <w:lang w:eastAsia="en-GB"/>
              </w:rPr>
            </w:pPr>
            <w:r>
              <w:rPr>
                <w:rFonts w:cs="Courier New"/>
                <w:color w:val="000000"/>
                <w:sz w:val="18"/>
                <w:szCs w:val="18"/>
                <w:lang w:eastAsia="en-GB"/>
              </w:rPr>
              <w:t>1.072</w:t>
            </w:r>
            <w:r w:rsidR="00D339F1">
              <w:rPr>
                <w:rFonts w:cs="Courier New"/>
                <w:color w:val="000000"/>
                <w:sz w:val="18"/>
                <w:szCs w:val="18"/>
                <w:lang w:eastAsia="en-GB"/>
              </w:rPr>
              <w:t xml:space="preserve"> (20%)</w:t>
            </w:r>
          </w:p>
          <w:p w14:paraId="58CAB3C6" w14:textId="77777777" w:rsidR="00A71B11" w:rsidRPr="007A741F" w:rsidRDefault="00A71B11" w:rsidP="0067738E">
            <w:pPr>
              <w:rPr>
                <w:sz w:val="18"/>
                <w:szCs w:val="18"/>
              </w:rPr>
            </w:pPr>
          </w:p>
        </w:tc>
      </w:tr>
    </w:tbl>
    <w:p w14:paraId="269D7F44" w14:textId="77777777" w:rsidR="008B39CB" w:rsidRDefault="008B39CB" w:rsidP="00720E68">
      <w:pPr>
        <w:pStyle w:val="ListParagraph"/>
        <w:ind w:left="0"/>
        <w:rPr>
          <w:sz w:val="20"/>
          <w:szCs w:val="20"/>
          <w:lang w:val="en-US"/>
        </w:rPr>
      </w:pPr>
    </w:p>
    <w:p w14:paraId="35A8B321" w14:textId="7DC26B5B" w:rsidR="005E205B" w:rsidRDefault="005E205B" w:rsidP="00720E68">
      <w:pPr>
        <w:pStyle w:val="ListParagraph"/>
        <w:ind w:left="0"/>
        <w:rPr>
          <w:sz w:val="20"/>
          <w:szCs w:val="20"/>
          <w:lang w:val="en-US"/>
        </w:rPr>
      </w:pPr>
      <w:r>
        <w:rPr>
          <w:sz w:val="20"/>
          <w:szCs w:val="20"/>
          <w:lang w:val="en-US"/>
        </w:rPr>
        <w:t>which still haven’t accounted for slippage</w:t>
      </w:r>
      <w:r w:rsidR="008B39CB">
        <w:rPr>
          <w:sz w:val="20"/>
          <w:szCs w:val="20"/>
          <w:lang w:val="en-US"/>
        </w:rPr>
        <w:t>.</w:t>
      </w:r>
    </w:p>
    <w:p w14:paraId="23ECCAD0" w14:textId="77777777" w:rsidR="006A25E4" w:rsidRDefault="006A25E4" w:rsidP="00720E68">
      <w:pPr>
        <w:pStyle w:val="ListParagraph"/>
        <w:ind w:left="0"/>
        <w:rPr>
          <w:sz w:val="20"/>
          <w:szCs w:val="20"/>
          <w:lang w:val="en-US"/>
        </w:rPr>
      </w:pPr>
    </w:p>
    <w:p w14:paraId="4E2D4E86" w14:textId="77777777" w:rsidR="006A25E4" w:rsidRDefault="006A25E4" w:rsidP="00720E68">
      <w:pPr>
        <w:pStyle w:val="ListParagraph"/>
        <w:ind w:left="0"/>
        <w:rPr>
          <w:sz w:val="20"/>
          <w:szCs w:val="20"/>
          <w:lang w:val="en-US"/>
        </w:rPr>
      </w:pPr>
      <w:r>
        <w:rPr>
          <w:sz w:val="20"/>
          <w:szCs w:val="20"/>
          <w:lang w:val="en-US"/>
        </w:rPr>
        <w:t>Potential Improvements</w:t>
      </w:r>
    </w:p>
    <w:p w14:paraId="3B2A5707" w14:textId="268F236B" w:rsidR="006A25E4" w:rsidRDefault="006A25E4" w:rsidP="006A25E4">
      <w:pPr>
        <w:pStyle w:val="ListParagraph"/>
        <w:numPr>
          <w:ilvl w:val="0"/>
          <w:numId w:val="4"/>
        </w:numPr>
        <w:rPr>
          <w:sz w:val="20"/>
          <w:szCs w:val="20"/>
          <w:lang w:val="en-US"/>
        </w:rPr>
      </w:pPr>
      <w:r>
        <w:rPr>
          <w:sz w:val="20"/>
          <w:szCs w:val="20"/>
          <w:lang w:val="en-US"/>
        </w:rPr>
        <w:t>Have not tried shorting when fast MA cross under slow MA</w:t>
      </w:r>
      <w:r w:rsidR="005E205B">
        <w:rPr>
          <w:sz w:val="20"/>
          <w:szCs w:val="20"/>
          <w:lang w:val="en-US"/>
        </w:rPr>
        <w:t xml:space="preserve">, possibly riskier and </w:t>
      </w:r>
      <w:r w:rsidR="008B39CB">
        <w:rPr>
          <w:sz w:val="20"/>
          <w:szCs w:val="20"/>
          <w:lang w:val="en-US"/>
        </w:rPr>
        <w:t>may not</w:t>
      </w:r>
      <w:r w:rsidR="005E205B">
        <w:rPr>
          <w:sz w:val="20"/>
          <w:szCs w:val="20"/>
          <w:lang w:val="en-US"/>
        </w:rPr>
        <w:t xml:space="preserve"> find </w:t>
      </w:r>
      <w:r w:rsidR="008B39CB">
        <w:rPr>
          <w:sz w:val="20"/>
          <w:szCs w:val="20"/>
          <w:lang w:val="en-US"/>
        </w:rPr>
        <w:t xml:space="preserve">a </w:t>
      </w:r>
      <w:r w:rsidR="005E205B">
        <w:rPr>
          <w:sz w:val="20"/>
          <w:szCs w:val="20"/>
          <w:lang w:val="en-US"/>
        </w:rPr>
        <w:t>market</w:t>
      </w:r>
      <w:r w:rsidR="008B39CB">
        <w:rPr>
          <w:sz w:val="20"/>
          <w:szCs w:val="20"/>
          <w:lang w:val="en-US"/>
        </w:rPr>
        <w:t>. But potential of improving alpha</w:t>
      </w:r>
    </w:p>
    <w:p w14:paraId="6259740B" w14:textId="77777777" w:rsidR="005E205B" w:rsidRDefault="005E205B" w:rsidP="006A25E4">
      <w:pPr>
        <w:pStyle w:val="ListParagraph"/>
        <w:numPr>
          <w:ilvl w:val="0"/>
          <w:numId w:val="4"/>
        </w:numPr>
        <w:rPr>
          <w:sz w:val="20"/>
          <w:szCs w:val="20"/>
          <w:lang w:val="en-US"/>
        </w:rPr>
      </w:pPr>
      <w:r>
        <w:rPr>
          <w:sz w:val="20"/>
          <w:szCs w:val="20"/>
          <w:lang w:val="en-US"/>
        </w:rPr>
        <w:t>Momentum should be another indicator to confirm trending and quicker exit before market blow out</w:t>
      </w:r>
    </w:p>
    <w:p w14:paraId="109800B2" w14:textId="33E9F425" w:rsidR="008B39CB" w:rsidRDefault="008B39CB" w:rsidP="006A25E4">
      <w:pPr>
        <w:pStyle w:val="ListParagraph"/>
        <w:numPr>
          <w:ilvl w:val="0"/>
          <w:numId w:val="4"/>
        </w:numPr>
        <w:rPr>
          <w:sz w:val="20"/>
          <w:szCs w:val="20"/>
          <w:lang w:val="en-US"/>
        </w:rPr>
      </w:pPr>
      <w:r>
        <w:rPr>
          <w:sz w:val="20"/>
          <w:szCs w:val="20"/>
          <w:lang w:val="en-US"/>
        </w:rPr>
        <w:t xml:space="preserve">Weighting stocks based on other factors, such cap size as small-cap stocks </w:t>
      </w:r>
      <w:r w:rsidR="00D339F1">
        <w:rPr>
          <w:sz w:val="20"/>
          <w:szCs w:val="20"/>
          <w:lang w:val="en-US"/>
        </w:rPr>
        <w:t>maybe</w:t>
      </w:r>
      <w:r>
        <w:rPr>
          <w:sz w:val="20"/>
          <w:szCs w:val="20"/>
          <w:lang w:val="en-US"/>
        </w:rPr>
        <w:t xml:space="preserve"> more susceptible to </w:t>
      </w:r>
      <w:r w:rsidR="00D339F1">
        <w:rPr>
          <w:sz w:val="20"/>
          <w:szCs w:val="20"/>
          <w:lang w:val="en-US"/>
        </w:rPr>
        <w:t>trending, but also riskier and more illiquid</w:t>
      </w:r>
    </w:p>
    <w:p w14:paraId="1CC5B54C" w14:textId="77777777" w:rsidR="007A741F" w:rsidRDefault="007A741F" w:rsidP="006A25E4">
      <w:pPr>
        <w:pStyle w:val="ListParagraph"/>
        <w:numPr>
          <w:ilvl w:val="0"/>
          <w:numId w:val="4"/>
        </w:numPr>
        <w:rPr>
          <w:sz w:val="20"/>
          <w:szCs w:val="20"/>
          <w:lang w:val="en-US"/>
        </w:rPr>
      </w:pPr>
      <w:r>
        <w:rPr>
          <w:sz w:val="20"/>
          <w:szCs w:val="20"/>
          <w:lang w:val="en-US"/>
        </w:rPr>
        <w:t>Minimum variance portfolio would need adjusting in calculating the covariance matrix</w:t>
      </w:r>
    </w:p>
    <w:p w14:paraId="67C8DC47" w14:textId="31480DB4" w:rsidR="005E205B" w:rsidRDefault="005E205B" w:rsidP="006A25E4">
      <w:pPr>
        <w:pStyle w:val="ListParagraph"/>
        <w:numPr>
          <w:ilvl w:val="0"/>
          <w:numId w:val="4"/>
        </w:numPr>
        <w:rPr>
          <w:sz w:val="20"/>
          <w:szCs w:val="20"/>
          <w:lang w:val="en-US"/>
        </w:rPr>
      </w:pPr>
      <w:r>
        <w:rPr>
          <w:sz w:val="20"/>
          <w:szCs w:val="20"/>
          <w:lang w:val="en-US"/>
        </w:rPr>
        <w:t xml:space="preserve"> Maximum Sharpe portfolio</w:t>
      </w:r>
      <w:r w:rsidR="00D339F1">
        <w:rPr>
          <w:sz w:val="20"/>
          <w:szCs w:val="20"/>
          <w:lang w:val="en-US"/>
        </w:rPr>
        <w:t xml:space="preserve"> should also be tested to find best weighting</w:t>
      </w:r>
    </w:p>
    <w:p w14:paraId="5C4E81CE" w14:textId="264C58BE" w:rsidR="008B39CB" w:rsidRDefault="008B39CB" w:rsidP="008B39CB">
      <w:pPr>
        <w:rPr>
          <w:sz w:val="20"/>
          <w:szCs w:val="20"/>
          <w:lang w:val="en-US"/>
        </w:rPr>
      </w:pPr>
      <w:r>
        <w:rPr>
          <w:sz w:val="20"/>
          <w:szCs w:val="20"/>
          <w:lang w:val="en-US"/>
        </w:rPr>
        <w:t>Conclusion</w:t>
      </w:r>
    </w:p>
    <w:p w14:paraId="111679D3" w14:textId="5CC425F8" w:rsidR="008B39CB" w:rsidRPr="008B39CB" w:rsidRDefault="008B39CB" w:rsidP="008B39CB">
      <w:pPr>
        <w:rPr>
          <w:sz w:val="20"/>
          <w:szCs w:val="20"/>
          <w:lang w:val="en-US"/>
        </w:rPr>
      </w:pPr>
      <w:r>
        <w:rPr>
          <w:sz w:val="20"/>
          <w:szCs w:val="20"/>
          <w:lang w:val="en-US"/>
        </w:rPr>
        <w:t>Best strategy backtested seems to be using continuous signal, adjusted by price volatility with a high threshold of trading signal. Further improvements can be added such as</w:t>
      </w:r>
      <w:r w:rsidR="00D339F1">
        <w:rPr>
          <w:sz w:val="20"/>
          <w:szCs w:val="20"/>
          <w:lang w:val="en-US"/>
        </w:rPr>
        <w:t xml:space="preserve"> shorting MA crossovers, using</w:t>
      </w:r>
      <w:r>
        <w:rPr>
          <w:sz w:val="20"/>
          <w:szCs w:val="20"/>
          <w:lang w:val="en-US"/>
        </w:rPr>
        <w:t xml:space="preserve"> momentum indicator</w:t>
      </w:r>
      <w:r w:rsidR="00D339F1">
        <w:rPr>
          <w:sz w:val="20"/>
          <w:szCs w:val="20"/>
          <w:lang w:val="en-US"/>
        </w:rPr>
        <w:t xml:space="preserve">, different weighting scheme. </w:t>
      </w:r>
    </w:p>
    <w:sectPr w:rsidR="008B39CB" w:rsidRPr="008B39CB" w:rsidSect="00D55E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3C80"/>
    <w:multiLevelType w:val="hybridMultilevel"/>
    <w:tmpl w:val="DD00C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9D45C1"/>
    <w:multiLevelType w:val="hybridMultilevel"/>
    <w:tmpl w:val="1062F09A"/>
    <w:lvl w:ilvl="0" w:tplc="E370C7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526433"/>
    <w:multiLevelType w:val="hybridMultilevel"/>
    <w:tmpl w:val="F0965E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B17912"/>
    <w:multiLevelType w:val="hybridMultilevel"/>
    <w:tmpl w:val="8102BAC8"/>
    <w:lvl w:ilvl="0" w:tplc="824299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1B95061"/>
    <w:multiLevelType w:val="hybridMultilevel"/>
    <w:tmpl w:val="1062F09A"/>
    <w:lvl w:ilvl="0" w:tplc="E370C7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11"/>
    <w:rsid w:val="00091B3B"/>
    <w:rsid w:val="001959A4"/>
    <w:rsid w:val="00362B28"/>
    <w:rsid w:val="004C1799"/>
    <w:rsid w:val="005E205B"/>
    <w:rsid w:val="00686690"/>
    <w:rsid w:val="006A25E4"/>
    <w:rsid w:val="006A4AF3"/>
    <w:rsid w:val="00720C11"/>
    <w:rsid w:val="00720E68"/>
    <w:rsid w:val="007717B3"/>
    <w:rsid w:val="007863F3"/>
    <w:rsid w:val="007A741F"/>
    <w:rsid w:val="00850E6D"/>
    <w:rsid w:val="00877B3D"/>
    <w:rsid w:val="008B39CB"/>
    <w:rsid w:val="00951DF6"/>
    <w:rsid w:val="009A7AF4"/>
    <w:rsid w:val="009B3FFA"/>
    <w:rsid w:val="00A61301"/>
    <w:rsid w:val="00A71B11"/>
    <w:rsid w:val="00A801DE"/>
    <w:rsid w:val="00AC13E9"/>
    <w:rsid w:val="00AE6168"/>
    <w:rsid w:val="00B4197A"/>
    <w:rsid w:val="00B659C8"/>
    <w:rsid w:val="00B66C9B"/>
    <w:rsid w:val="00B81E4B"/>
    <w:rsid w:val="00B8212B"/>
    <w:rsid w:val="00C01FE0"/>
    <w:rsid w:val="00D339F1"/>
    <w:rsid w:val="00D55E8F"/>
    <w:rsid w:val="00D71F4A"/>
    <w:rsid w:val="00E92D06"/>
    <w:rsid w:val="00EA78EC"/>
    <w:rsid w:val="00FD2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8AC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11"/>
    <w:pPr>
      <w:ind w:left="720"/>
      <w:contextualSpacing/>
    </w:pPr>
  </w:style>
  <w:style w:type="table" w:styleId="TableGrid">
    <w:name w:val="Table Grid"/>
    <w:basedOn w:val="TableNormal"/>
    <w:uiPriority w:val="39"/>
    <w:rsid w:val="00B8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A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A741F"/>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496">
      <w:bodyDiv w:val="1"/>
      <w:marLeft w:val="0"/>
      <w:marRight w:val="0"/>
      <w:marTop w:val="0"/>
      <w:marBottom w:val="0"/>
      <w:divBdr>
        <w:top w:val="none" w:sz="0" w:space="0" w:color="auto"/>
        <w:left w:val="none" w:sz="0" w:space="0" w:color="auto"/>
        <w:bottom w:val="none" w:sz="0" w:space="0" w:color="auto"/>
        <w:right w:val="none" w:sz="0" w:space="0" w:color="auto"/>
      </w:divBdr>
    </w:div>
    <w:div w:id="25301909">
      <w:bodyDiv w:val="1"/>
      <w:marLeft w:val="0"/>
      <w:marRight w:val="0"/>
      <w:marTop w:val="0"/>
      <w:marBottom w:val="0"/>
      <w:divBdr>
        <w:top w:val="none" w:sz="0" w:space="0" w:color="auto"/>
        <w:left w:val="none" w:sz="0" w:space="0" w:color="auto"/>
        <w:bottom w:val="none" w:sz="0" w:space="0" w:color="auto"/>
        <w:right w:val="none" w:sz="0" w:space="0" w:color="auto"/>
      </w:divBdr>
    </w:div>
    <w:div w:id="148063557">
      <w:bodyDiv w:val="1"/>
      <w:marLeft w:val="0"/>
      <w:marRight w:val="0"/>
      <w:marTop w:val="0"/>
      <w:marBottom w:val="0"/>
      <w:divBdr>
        <w:top w:val="none" w:sz="0" w:space="0" w:color="auto"/>
        <w:left w:val="none" w:sz="0" w:space="0" w:color="auto"/>
        <w:bottom w:val="none" w:sz="0" w:space="0" w:color="auto"/>
        <w:right w:val="none" w:sz="0" w:space="0" w:color="auto"/>
      </w:divBdr>
    </w:div>
    <w:div w:id="225653621">
      <w:bodyDiv w:val="1"/>
      <w:marLeft w:val="0"/>
      <w:marRight w:val="0"/>
      <w:marTop w:val="0"/>
      <w:marBottom w:val="0"/>
      <w:divBdr>
        <w:top w:val="none" w:sz="0" w:space="0" w:color="auto"/>
        <w:left w:val="none" w:sz="0" w:space="0" w:color="auto"/>
        <w:bottom w:val="none" w:sz="0" w:space="0" w:color="auto"/>
        <w:right w:val="none" w:sz="0" w:space="0" w:color="auto"/>
      </w:divBdr>
    </w:div>
    <w:div w:id="241262880">
      <w:bodyDiv w:val="1"/>
      <w:marLeft w:val="0"/>
      <w:marRight w:val="0"/>
      <w:marTop w:val="0"/>
      <w:marBottom w:val="0"/>
      <w:divBdr>
        <w:top w:val="none" w:sz="0" w:space="0" w:color="auto"/>
        <w:left w:val="none" w:sz="0" w:space="0" w:color="auto"/>
        <w:bottom w:val="none" w:sz="0" w:space="0" w:color="auto"/>
        <w:right w:val="none" w:sz="0" w:space="0" w:color="auto"/>
      </w:divBdr>
    </w:div>
    <w:div w:id="260921271">
      <w:bodyDiv w:val="1"/>
      <w:marLeft w:val="0"/>
      <w:marRight w:val="0"/>
      <w:marTop w:val="0"/>
      <w:marBottom w:val="0"/>
      <w:divBdr>
        <w:top w:val="none" w:sz="0" w:space="0" w:color="auto"/>
        <w:left w:val="none" w:sz="0" w:space="0" w:color="auto"/>
        <w:bottom w:val="none" w:sz="0" w:space="0" w:color="auto"/>
        <w:right w:val="none" w:sz="0" w:space="0" w:color="auto"/>
      </w:divBdr>
    </w:div>
    <w:div w:id="282656794">
      <w:bodyDiv w:val="1"/>
      <w:marLeft w:val="0"/>
      <w:marRight w:val="0"/>
      <w:marTop w:val="0"/>
      <w:marBottom w:val="0"/>
      <w:divBdr>
        <w:top w:val="none" w:sz="0" w:space="0" w:color="auto"/>
        <w:left w:val="none" w:sz="0" w:space="0" w:color="auto"/>
        <w:bottom w:val="none" w:sz="0" w:space="0" w:color="auto"/>
        <w:right w:val="none" w:sz="0" w:space="0" w:color="auto"/>
      </w:divBdr>
    </w:div>
    <w:div w:id="310525684">
      <w:bodyDiv w:val="1"/>
      <w:marLeft w:val="0"/>
      <w:marRight w:val="0"/>
      <w:marTop w:val="0"/>
      <w:marBottom w:val="0"/>
      <w:divBdr>
        <w:top w:val="none" w:sz="0" w:space="0" w:color="auto"/>
        <w:left w:val="none" w:sz="0" w:space="0" w:color="auto"/>
        <w:bottom w:val="none" w:sz="0" w:space="0" w:color="auto"/>
        <w:right w:val="none" w:sz="0" w:space="0" w:color="auto"/>
      </w:divBdr>
    </w:div>
    <w:div w:id="316110128">
      <w:bodyDiv w:val="1"/>
      <w:marLeft w:val="0"/>
      <w:marRight w:val="0"/>
      <w:marTop w:val="0"/>
      <w:marBottom w:val="0"/>
      <w:divBdr>
        <w:top w:val="none" w:sz="0" w:space="0" w:color="auto"/>
        <w:left w:val="none" w:sz="0" w:space="0" w:color="auto"/>
        <w:bottom w:val="none" w:sz="0" w:space="0" w:color="auto"/>
        <w:right w:val="none" w:sz="0" w:space="0" w:color="auto"/>
      </w:divBdr>
    </w:div>
    <w:div w:id="321154855">
      <w:bodyDiv w:val="1"/>
      <w:marLeft w:val="0"/>
      <w:marRight w:val="0"/>
      <w:marTop w:val="0"/>
      <w:marBottom w:val="0"/>
      <w:divBdr>
        <w:top w:val="none" w:sz="0" w:space="0" w:color="auto"/>
        <w:left w:val="none" w:sz="0" w:space="0" w:color="auto"/>
        <w:bottom w:val="none" w:sz="0" w:space="0" w:color="auto"/>
        <w:right w:val="none" w:sz="0" w:space="0" w:color="auto"/>
      </w:divBdr>
    </w:div>
    <w:div w:id="368338658">
      <w:bodyDiv w:val="1"/>
      <w:marLeft w:val="0"/>
      <w:marRight w:val="0"/>
      <w:marTop w:val="0"/>
      <w:marBottom w:val="0"/>
      <w:divBdr>
        <w:top w:val="none" w:sz="0" w:space="0" w:color="auto"/>
        <w:left w:val="none" w:sz="0" w:space="0" w:color="auto"/>
        <w:bottom w:val="none" w:sz="0" w:space="0" w:color="auto"/>
        <w:right w:val="none" w:sz="0" w:space="0" w:color="auto"/>
      </w:divBdr>
    </w:div>
    <w:div w:id="417792518">
      <w:bodyDiv w:val="1"/>
      <w:marLeft w:val="0"/>
      <w:marRight w:val="0"/>
      <w:marTop w:val="0"/>
      <w:marBottom w:val="0"/>
      <w:divBdr>
        <w:top w:val="none" w:sz="0" w:space="0" w:color="auto"/>
        <w:left w:val="none" w:sz="0" w:space="0" w:color="auto"/>
        <w:bottom w:val="none" w:sz="0" w:space="0" w:color="auto"/>
        <w:right w:val="none" w:sz="0" w:space="0" w:color="auto"/>
      </w:divBdr>
    </w:div>
    <w:div w:id="437915406">
      <w:bodyDiv w:val="1"/>
      <w:marLeft w:val="0"/>
      <w:marRight w:val="0"/>
      <w:marTop w:val="0"/>
      <w:marBottom w:val="0"/>
      <w:divBdr>
        <w:top w:val="none" w:sz="0" w:space="0" w:color="auto"/>
        <w:left w:val="none" w:sz="0" w:space="0" w:color="auto"/>
        <w:bottom w:val="none" w:sz="0" w:space="0" w:color="auto"/>
        <w:right w:val="none" w:sz="0" w:space="0" w:color="auto"/>
      </w:divBdr>
    </w:div>
    <w:div w:id="455829492">
      <w:bodyDiv w:val="1"/>
      <w:marLeft w:val="0"/>
      <w:marRight w:val="0"/>
      <w:marTop w:val="0"/>
      <w:marBottom w:val="0"/>
      <w:divBdr>
        <w:top w:val="none" w:sz="0" w:space="0" w:color="auto"/>
        <w:left w:val="none" w:sz="0" w:space="0" w:color="auto"/>
        <w:bottom w:val="none" w:sz="0" w:space="0" w:color="auto"/>
        <w:right w:val="none" w:sz="0" w:space="0" w:color="auto"/>
      </w:divBdr>
    </w:div>
    <w:div w:id="499738124">
      <w:bodyDiv w:val="1"/>
      <w:marLeft w:val="0"/>
      <w:marRight w:val="0"/>
      <w:marTop w:val="0"/>
      <w:marBottom w:val="0"/>
      <w:divBdr>
        <w:top w:val="none" w:sz="0" w:space="0" w:color="auto"/>
        <w:left w:val="none" w:sz="0" w:space="0" w:color="auto"/>
        <w:bottom w:val="none" w:sz="0" w:space="0" w:color="auto"/>
        <w:right w:val="none" w:sz="0" w:space="0" w:color="auto"/>
      </w:divBdr>
    </w:div>
    <w:div w:id="579141678">
      <w:bodyDiv w:val="1"/>
      <w:marLeft w:val="0"/>
      <w:marRight w:val="0"/>
      <w:marTop w:val="0"/>
      <w:marBottom w:val="0"/>
      <w:divBdr>
        <w:top w:val="none" w:sz="0" w:space="0" w:color="auto"/>
        <w:left w:val="none" w:sz="0" w:space="0" w:color="auto"/>
        <w:bottom w:val="none" w:sz="0" w:space="0" w:color="auto"/>
        <w:right w:val="none" w:sz="0" w:space="0" w:color="auto"/>
      </w:divBdr>
    </w:div>
    <w:div w:id="685448827">
      <w:bodyDiv w:val="1"/>
      <w:marLeft w:val="0"/>
      <w:marRight w:val="0"/>
      <w:marTop w:val="0"/>
      <w:marBottom w:val="0"/>
      <w:divBdr>
        <w:top w:val="none" w:sz="0" w:space="0" w:color="auto"/>
        <w:left w:val="none" w:sz="0" w:space="0" w:color="auto"/>
        <w:bottom w:val="none" w:sz="0" w:space="0" w:color="auto"/>
        <w:right w:val="none" w:sz="0" w:space="0" w:color="auto"/>
      </w:divBdr>
    </w:div>
    <w:div w:id="711198252">
      <w:bodyDiv w:val="1"/>
      <w:marLeft w:val="0"/>
      <w:marRight w:val="0"/>
      <w:marTop w:val="0"/>
      <w:marBottom w:val="0"/>
      <w:divBdr>
        <w:top w:val="none" w:sz="0" w:space="0" w:color="auto"/>
        <w:left w:val="none" w:sz="0" w:space="0" w:color="auto"/>
        <w:bottom w:val="none" w:sz="0" w:space="0" w:color="auto"/>
        <w:right w:val="none" w:sz="0" w:space="0" w:color="auto"/>
      </w:divBdr>
    </w:div>
    <w:div w:id="827475246">
      <w:bodyDiv w:val="1"/>
      <w:marLeft w:val="0"/>
      <w:marRight w:val="0"/>
      <w:marTop w:val="0"/>
      <w:marBottom w:val="0"/>
      <w:divBdr>
        <w:top w:val="none" w:sz="0" w:space="0" w:color="auto"/>
        <w:left w:val="none" w:sz="0" w:space="0" w:color="auto"/>
        <w:bottom w:val="none" w:sz="0" w:space="0" w:color="auto"/>
        <w:right w:val="none" w:sz="0" w:space="0" w:color="auto"/>
      </w:divBdr>
    </w:div>
    <w:div w:id="878517082">
      <w:bodyDiv w:val="1"/>
      <w:marLeft w:val="0"/>
      <w:marRight w:val="0"/>
      <w:marTop w:val="0"/>
      <w:marBottom w:val="0"/>
      <w:divBdr>
        <w:top w:val="none" w:sz="0" w:space="0" w:color="auto"/>
        <w:left w:val="none" w:sz="0" w:space="0" w:color="auto"/>
        <w:bottom w:val="none" w:sz="0" w:space="0" w:color="auto"/>
        <w:right w:val="none" w:sz="0" w:space="0" w:color="auto"/>
      </w:divBdr>
    </w:div>
    <w:div w:id="936869753">
      <w:bodyDiv w:val="1"/>
      <w:marLeft w:val="0"/>
      <w:marRight w:val="0"/>
      <w:marTop w:val="0"/>
      <w:marBottom w:val="0"/>
      <w:divBdr>
        <w:top w:val="none" w:sz="0" w:space="0" w:color="auto"/>
        <w:left w:val="none" w:sz="0" w:space="0" w:color="auto"/>
        <w:bottom w:val="none" w:sz="0" w:space="0" w:color="auto"/>
        <w:right w:val="none" w:sz="0" w:space="0" w:color="auto"/>
      </w:divBdr>
    </w:div>
    <w:div w:id="989528377">
      <w:bodyDiv w:val="1"/>
      <w:marLeft w:val="0"/>
      <w:marRight w:val="0"/>
      <w:marTop w:val="0"/>
      <w:marBottom w:val="0"/>
      <w:divBdr>
        <w:top w:val="none" w:sz="0" w:space="0" w:color="auto"/>
        <w:left w:val="none" w:sz="0" w:space="0" w:color="auto"/>
        <w:bottom w:val="none" w:sz="0" w:space="0" w:color="auto"/>
        <w:right w:val="none" w:sz="0" w:space="0" w:color="auto"/>
      </w:divBdr>
    </w:div>
    <w:div w:id="1083800783">
      <w:bodyDiv w:val="1"/>
      <w:marLeft w:val="0"/>
      <w:marRight w:val="0"/>
      <w:marTop w:val="0"/>
      <w:marBottom w:val="0"/>
      <w:divBdr>
        <w:top w:val="none" w:sz="0" w:space="0" w:color="auto"/>
        <w:left w:val="none" w:sz="0" w:space="0" w:color="auto"/>
        <w:bottom w:val="none" w:sz="0" w:space="0" w:color="auto"/>
        <w:right w:val="none" w:sz="0" w:space="0" w:color="auto"/>
      </w:divBdr>
    </w:div>
    <w:div w:id="1159006481">
      <w:bodyDiv w:val="1"/>
      <w:marLeft w:val="0"/>
      <w:marRight w:val="0"/>
      <w:marTop w:val="0"/>
      <w:marBottom w:val="0"/>
      <w:divBdr>
        <w:top w:val="none" w:sz="0" w:space="0" w:color="auto"/>
        <w:left w:val="none" w:sz="0" w:space="0" w:color="auto"/>
        <w:bottom w:val="none" w:sz="0" w:space="0" w:color="auto"/>
        <w:right w:val="none" w:sz="0" w:space="0" w:color="auto"/>
      </w:divBdr>
    </w:div>
    <w:div w:id="1166088678">
      <w:bodyDiv w:val="1"/>
      <w:marLeft w:val="0"/>
      <w:marRight w:val="0"/>
      <w:marTop w:val="0"/>
      <w:marBottom w:val="0"/>
      <w:divBdr>
        <w:top w:val="none" w:sz="0" w:space="0" w:color="auto"/>
        <w:left w:val="none" w:sz="0" w:space="0" w:color="auto"/>
        <w:bottom w:val="none" w:sz="0" w:space="0" w:color="auto"/>
        <w:right w:val="none" w:sz="0" w:space="0" w:color="auto"/>
      </w:divBdr>
    </w:div>
    <w:div w:id="1297563596">
      <w:bodyDiv w:val="1"/>
      <w:marLeft w:val="0"/>
      <w:marRight w:val="0"/>
      <w:marTop w:val="0"/>
      <w:marBottom w:val="0"/>
      <w:divBdr>
        <w:top w:val="none" w:sz="0" w:space="0" w:color="auto"/>
        <w:left w:val="none" w:sz="0" w:space="0" w:color="auto"/>
        <w:bottom w:val="none" w:sz="0" w:space="0" w:color="auto"/>
        <w:right w:val="none" w:sz="0" w:space="0" w:color="auto"/>
      </w:divBdr>
    </w:div>
    <w:div w:id="1398432117">
      <w:bodyDiv w:val="1"/>
      <w:marLeft w:val="0"/>
      <w:marRight w:val="0"/>
      <w:marTop w:val="0"/>
      <w:marBottom w:val="0"/>
      <w:divBdr>
        <w:top w:val="none" w:sz="0" w:space="0" w:color="auto"/>
        <w:left w:val="none" w:sz="0" w:space="0" w:color="auto"/>
        <w:bottom w:val="none" w:sz="0" w:space="0" w:color="auto"/>
        <w:right w:val="none" w:sz="0" w:space="0" w:color="auto"/>
      </w:divBdr>
    </w:div>
    <w:div w:id="1424034552">
      <w:bodyDiv w:val="1"/>
      <w:marLeft w:val="0"/>
      <w:marRight w:val="0"/>
      <w:marTop w:val="0"/>
      <w:marBottom w:val="0"/>
      <w:divBdr>
        <w:top w:val="none" w:sz="0" w:space="0" w:color="auto"/>
        <w:left w:val="none" w:sz="0" w:space="0" w:color="auto"/>
        <w:bottom w:val="none" w:sz="0" w:space="0" w:color="auto"/>
        <w:right w:val="none" w:sz="0" w:space="0" w:color="auto"/>
      </w:divBdr>
    </w:div>
    <w:div w:id="1480877840">
      <w:bodyDiv w:val="1"/>
      <w:marLeft w:val="0"/>
      <w:marRight w:val="0"/>
      <w:marTop w:val="0"/>
      <w:marBottom w:val="0"/>
      <w:divBdr>
        <w:top w:val="none" w:sz="0" w:space="0" w:color="auto"/>
        <w:left w:val="none" w:sz="0" w:space="0" w:color="auto"/>
        <w:bottom w:val="none" w:sz="0" w:space="0" w:color="auto"/>
        <w:right w:val="none" w:sz="0" w:space="0" w:color="auto"/>
      </w:divBdr>
    </w:div>
    <w:div w:id="1630474618">
      <w:bodyDiv w:val="1"/>
      <w:marLeft w:val="0"/>
      <w:marRight w:val="0"/>
      <w:marTop w:val="0"/>
      <w:marBottom w:val="0"/>
      <w:divBdr>
        <w:top w:val="none" w:sz="0" w:space="0" w:color="auto"/>
        <w:left w:val="none" w:sz="0" w:space="0" w:color="auto"/>
        <w:bottom w:val="none" w:sz="0" w:space="0" w:color="auto"/>
        <w:right w:val="none" w:sz="0" w:space="0" w:color="auto"/>
      </w:divBdr>
    </w:div>
    <w:div w:id="1713113446">
      <w:bodyDiv w:val="1"/>
      <w:marLeft w:val="0"/>
      <w:marRight w:val="0"/>
      <w:marTop w:val="0"/>
      <w:marBottom w:val="0"/>
      <w:divBdr>
        <w:top w:val="none" w:sz="0" w:space="0" w:color="auto"/>
        <w:left w:val="none" w:sz="0" w:space="0" w:color="auto"/>
        <w:bottom w:val="none" w:sz="0" w:space="0" w:color="auto"/>
        <w:right w:val="none" w:sz="0" w:space="0" w:color="auto"/>
      </w:divBdr>
    </w:div>
    <w:div w:id="1720856635">
      <w:bodyDiv w:val="1"/>
      <w:marLeft w:val="0"/>
      <w:marRight w:val="0"/>
      <w:marTop w:val="0"/>
      <w:marBottom w:val="0"/>
      <w:divBdr>
        <w:top w:val="none" w:sz="0" w:space="0" w:color="auto"/>
        <w:left w:val="none" w:sz="0" w:space="0" w:color="auto"/>
        <w:bottom w:val="none" w:sz="0" w:space="0" w:color="auto"/>
        <w:right w:val="none" w:sz="0" w:space="0" w:color="auto"/>
      </w:divBdr>
    </w:div>
    <w:div w:id="1796635696">
      <w:bodyDiv w:val="1"/>
      <w:marLeft w:val="0"/>
      <w:marRight w:val="0"/>
      <w:marTop w:val="0"/>
      <w:marBottom w:val="0"/>
      <w:divBdr>
        <w:top w:val="none" w:sz="0" w:space="0" w:color="auto"/>
        <w:left w:val="none" w:sz="0" w:space="0" w:color="auto"/>
        <w:bottom w:val="none" w:sz="0" w:space="0" w:color="auto"/>
        <w:right w:val="none" w:sz="0" w:space="0" w:color="auto"/>
      </w:divBdr>
    </w:div>
    <w:div w:id="1855925077">
      <w:bodyDiv w:val="1"/>
      <w:marLeft w:val="0"/>
      <w:marRight w:val="0"/>
      <w:marTop w:val="0"/>
      <w:marBottom w:val="0"/>
      <w:divBdr>
        <w:top w:val="none" w:sz="0" w:space="0" w:color="auto"/>
        <w:left w:val="none" w:sz="0" w:space="0" w:color="auto"/>
        <w:bottom w:val="none" w:sz="0" w:space="0" w:color="auto"/>
        <w:right w:val="none" w:sz="0" w:space="0" w:color="auto"/>
      </w:divBdr>
    </w:div>
    <w:div w:id="1884705399">
      <w:bodyDiv w:val="1"/>
      <w:marLeft w:val="0"/>
      <w:marRight w:val="0"/>
      <w:marTop w:val="0"/>
      <w:marBottom w:val="0"/>
      <w:divBdr>
        <w:top w:val="none" w:sz="0" w:space="0" w:color="auto"/>
        <w:left w:val="none" w:sz="0" w:space="0" w:color="auto"/>
        <w:bottom w:val="none" w:sz="0" w:space="0" w:color="auto"/>
        <w:right w:val="none" w:sz="0" w:space="0" w:color="auto"/>
      </w:divBdr>
    </w:div>
    <w:div w:id="1884752474">
      <w:bodyDiv w:val="1"/>
      <w:marLeft w:val="0"/>
      <w:marRight w:val="0"/>
      <w:marTop w:val="0"/>
      <w:marBottom w:val="0"/>
      <w:divBdr>
        <w:top w:val="none" w:sz="0" w:space="0" w:color="auto"/>
        <w:left w:val="none" w:sz="0" w:space="0" w:color="auto"/>
        <w:bottom w:val="none" w:sz="0" w:space="0" w:color="auto"/>
        <w:right w:val="none" w:sz="0" w:space="0" w:color="auto"/>
      </w:divBdr>
    </w:div>
    <w:div w:id="1946645541">
      <w:bodyDiv w:val="1"/>
      <w:marLeft w:val="0"/>
      <w:marRight w:val="0"/>
      <w:marTop w:val="0"/>
      <w:marBottom w:val="0"/>
      <w:divBdr>
        <w:top w:val="none" w:sz="0" w:space="0" w:color="auto"/>
        <w:left w:val="none" w:sz="0" w:space="0" w:color="auto"/>
        <w:bottom w:val="none" w:sz="0" w:space="0" w:color="auto"/>
        <w:right w:val="none" w:sz="0" w:space="0" w:color="auto"/>
      </w:divBdr>
    </w:div>
    <w:div w:id="1997758575">
      <w:bodyDiv w:val="1"/>
      <w:marLeft w:val="0"/>
      <w:marRight w:val="0"/>
      <w:marTop w:val="0"/>
      <w:marBottom w:val="0"/>
      <w:divBdr>
        <w:top w:val="none" w:sz="0" w:space="0" w:color="auto"/>
        <w:left w:val="none" w:sz="0" w:space="0" w:color="auto"/>
        <w:bottom w:val="none" w:sz="0" w:space="0" w:color="auto"/>
        <w:right w:val="none" w:sz="0" w:space="0" w:color="auto"/>
      </w:divBdr>
    </w:div>
    <w:div w:id="1998992072">
      <w:bodyDiv w:val="1"/>
      <w:marLeft w:val="0"/>
      <w:marRight w:val="0"/>
      <w:marTop w:val="0"/>
      <w:marBottom w:val="0"/>
      <w:divBdr>
        <w:top w:val="none" w:sz="0" w:space="0" w:color="auto"/>
        <w:left w:val="none" w:sz="0" w:space="0" w:color="auto"/>
        <w:bottom w:val="none" w:sz="0" w:space="0" w:color="auto"/>
        <w:right w:val="none" w:sz="0" w:space="0" w:color="auto"/>
      </w:divBdr>
    </w:div>
    <w:div w:id="2021006020">
      <w:bodyDiv w:val="1"/>
      <w:marLeft w:val="0"/>
      <w:marRight w:val="0"/>
      <w:marTop w:val="0"/>
      <w:marBottom w:val="0"/>
      <w:divBdr>
        <w:top w:val="none" w:sz="0" w:space="0" w:color="auto"/>
        <w:left w:val="none" w:sz="0" w:space="0" w:color="auto"/>
        <w:bottom w:val="none" w:sz="0" w:space="0" w:color="auto"/>
        <w:right w:val="none" w:sz="0" w:space="0" w:color="auto"/>
      </w:divBdr>
    </w:div>
    <w:div w:id="2097052554">
      <w:bodyDiv w:val="1"/>
      <w:marLeft w:val="0"/>
      <w:marRight w:val="0"/>
      <w:marTop w:val="0"/>
      <w:marBottom w:val="0"/>
      <w:divBdr>
        <w:top w:val="none" w:sz="0" w:space="0" w:color="auto"/>
        <w:left w:val="none" w:sz="0" w:space="0" w:color="auto"/>
        <w:bottom w:val="none" w:sz="0" w:space="0" w:color="auto"/>
        <w:right w:val="none" w:sz="0" w:space="0" w:color="auto"/>
      </w:divBdr>
    </w:div>
    <w:div w:id="2125538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1C0B5E7-25F8-D64B-AD0B-576475FA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802</Words>
  <Characters>4574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2020-08-23T22:37:00Z</dcterms:created>
  <dcterms:modified xsi:type="dcterms:W3CDTF">2020-08-24T14:13:00Z</dcterms:modified>
</cp:coreProperties>
</file>