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30354" w14:textId="43201441" w:rsidR="00EA2CFA" w:rsidRDefault="00EA2CFA">
      <w:pPr>
        <w:rPr>
          <w:lang w:val="en-US"/>
        </w:rPr>
      </w:pPr>
      <w:r>
        <w:rPr>
          <w:lang w:val="en-US"/>
        </w:rPr>
        <w:t xml:space="preserve">Relative Value: </w:t>
      </w:r>
      <w:r w:rsidR="007D766F">
        <w:rPr>
          <w:lang w:val="en-US"/>
        </w:rPr>
        <w:t>Spread</w:t>
      </w:r>
      <w:r w:rsidR="00010625">
        <w:rPr>
          <w:lang w:val="en-US"/>
        </w:rPr>
        <w:t>, Copula, Contra-Trend</w:t>
      </w:r>
      <w:r>
        <w:rPr>
          <w:lang w:val="en-US"/>
        </w:rPr>
        <w:t xml:space="preserve"> </w:t>
      </w:r>
      <w:r w:rsidR="00010625">
        <w:rPr>
          <w:lang w:val="en-US"/>
        </w:rPr>
        <w:t xml:space="preserve">and </w:t>
      </w:r>
      <w:r>
        <w:rPr>
          <w:lang w:val="en-US"/>
        </w:rPr>
        <w:t>XGB Approaches</w:t>
      </w:r>
    </w:p>
    <w:p w14:paraId="200D2679" w14:textId="3389BD5C" w:rsidR="00C7205A" w:rsidRDefault="00C7205A">
      <w:pPr>
        <w:rPr>
          <w:lang w:val="en-US"/>
        </w:rPr>
      </w:pPr>
      <w:r>
        <w:rPr>
          <w:lang w:val="en-US"/>
        </w:rPr>
        <w:t>King Wong</w:t>
      </w:r>
    </w:p>
    <w:p w14:paraId="5BB35E25" w14:textId="77777777" w:rsidR="00EA2CFA" w:rsidRDefault="00EA2CFA">
      <w:pPr>
        <w:rPr>
          <w:lang w:val="en-US"/>
        </w:rPr>
      </w:pPr>
    </w:p>
    <w:p w14:paraId="1564E84D" w14:textId="70A47120" w:rsidR="007A5AC6" w:rsidRDefault="007A5AC6">
      <w:pPr>
        <w:rPr>
          <w:sz w:val="20"/>
          <w:szCs w:val="20"/>
          <w:lang w:val="en-US"/>
        </w:rPr>
      </w:pPr>
      <w:r>
        <w:rPr>
          <w:sz w:val="20"/>
          <w:szCs w:val="20"/>
          <w:lang w:val="en-US"/>
        </w:rPr>
        <w:t>Abstract</w:t>
      </w:r>
    </w:p>
    <w:p w14:paraId="0B2F86DD" w14:textId="69864709" w:rsidR="00EA2CFA" w:rsidRDefault="007A5AC6" w:rsidP="007A5AC6">
      <w:pPr>
        <w:rPr>
          <w:sz w:val="20"/>
          <w:szCs w:val="20"/>
          <w:lang w:val="en-US"/>
        </w:rPr>
      </w:pPr>
      <w:r>
        <w:rPr>
          <w:sz w:val="20"/>
          <w:szCs w:val="20"/>
          <w:lang w:val="en-US"/>
        </w:rPr>
        <w:t xml:space="preserve">I present an example of relative trading </w:t>
      </w:r>
      <w:r w:rsidR="00A85C1A">
        <w:rPr>
          <w:sz w:val="20"/>
          <w:szCs w:val="20"/>
          <w:lang w:val="en-US"/>
        </w:rPr>
        <w:t xml:space="preserve">using three different approaches </w:t>
      </w:r>
      <w:r>
        <w:rPr>
          <w:sz w:val="20"/>
          <w:szCs w:val="20"/>
          <w:lang w:val="en-US"/>
        </w:rPr>
        <w:t xml:space="preserve">with a tech ETFs pairing with either its top holdings or stocks which are highly related to the sector. </w:t>
      </w:r>
      <w:r w:rsidR="00A47F35">
        <w:rPr>
          <w:sz w:val="20"/>
          <w:szCs w:val="20"/>
          <w:lang w:val="en-US"/>
        </w:rPr>
        <w:t xml:space="preserve">The </w:t>
      </w:r>
      <w:proofErr w:type="spellStart"/>
      <w:r w:rsidR="00A47F35">
        <w:rPr>
          <w:sz w:val="20"/>
          <w:szCs w:val="20"/>
          <w:lang w:val="en-US"/>
        </w:rPr>
        <w:t>backtest</w:t>
      </w:r>
      <w:proofErr w:type="spellEnd"/>
      <w:r w:rsidR="00A47F35">
        <w:rPr>
          <w:sz w:val="20"/>
          <w:szCs w:val="20"/>
          <w:lang w:val="en-US"/>
        </w:rPr>
        <w:t xml:space="preserve"> shows Copula </w:t>
      </w:r>
      <w:r w:rsidR="00A85C1A">
        <w:rPr>
          <w:sz w:val="20"/>
          <w:szCs w:val="20"/>
          <w:lang w:val="en-US"/>
        </w:rPr>
        <w:t xml:space="preserve">&gt; Spread &gt; Contra-trend &gt; </w:t>
      </w:r>
      <w:r w:rsidR="00F8220F">
        <w:rPr>
          <w:sz w:val="20"/>
          <w:szCs w:val="20"/>
          <w:lang w:val="en-US"/>
        </w:rPr>
        <w:t xml:space="preserve">in terms of mean Sharpe and alpha. The upside in capturing non-linear relationship using XGB to optimize the pairs trading is remained to be investigated further with more market pairs. </w:t>
      </w:r>
    </w:p>
    <w:p w14:paraId="019E5E99" w14:textId="77777777" w:rsidR="00F8220F" w:rsidRDefault="00F8220F" w:rsidP="007A5AC6">
      <w:pPr>
        <w:rPr>
          <w:sz w:val="20"/>
          <w:szCs w:val="20"/>
          <w:lang w:val="en-US"/>
        </w:rPr>
      </w:pPr>
    </w:p>
    <w:p w14:paraId="1BF437DF" w14:textId="5F6004A0" w:rsidR="007A5AC6" w:rsidRPr="001064AB" w:rsidRDefault="00F8220F" w:rsidP="007A5AC6">
      <w:pPr>
        <w:rPr>
          <w:sz w:val="20"/>
          <w:szCs w:val="20"/>
          <w:lang w:val="en-US"/>
        </w:rPr>
      </w:pPr>
      <w:r>
        <w:rPr>
          <w:sz w:val="20"/>
          <w:szCs w:val="20"/>
          <w:lang w:val="en-US"/>
        </w:rPr>
        <w:t>Introduction</w:t>
      </w:r>
    </w:p>
    <w:p w14:paraId="39558276" w14:textId="4F194429" w:rsidR="00EA2CFA" w:rsidRPr="001064AB" w:rsidRDefault="00EA2CFA">
      <w:pPr>
        <w:rPr>
          <w:sz w:val="20"/>
          <w:szCs w:val="20"/>
          <w:lang w:val="en-US"/>
        </w:rPr>
      </w:pPr>
      <w:r w:rsidRPr="001064AB">
        <w:rPr>
          <w:sz w:val="20"/>
          <w:szCs w:val="20"/>
          <w:lang w:val="en-US"/>
        </w:rPr>
        <w:t xml:space="preserve">Tasked with the exercise to construct a relative </w:t>
      </w:r>
      <w:r w:rsidR="00F8220F">
        <w:rPr>
          <w:sz w:val="20"/>
          <w:szCs w:val="20"/>
          <w:lang w:val="en-US"/>
        </w:rPr>
        <w:t xml:space="preserve">value </w:t>
      </w:r>
      <w:r w:rsidRPr="001064AB">
        <w:rPr>
          <w:sz w:val="20"/>
          <w:szCs w:val="20"/>
          <w:lang w:val="en-US"/>
        </w:rPr>
        <w:t>strategy, I present a small example which can be used in a broader scale including other sectors inside or outside of</w:t>
      </w:r>
      <w:r w:rsidR="00F8220F">
        <w:rPr>
          <w:sz w:val="20"/>
          <w:szCs w:val="20"/>
          <w:lang w:val="en-US"/>
        </w:rPr>
        <w:t xml:space="preserve"> the</w:t>
      </w:r>
      <w:r w:rsidRPr="001064AB">
        <w:rPr>
          <w:sz w:val="20"/>
          <w:szCs w:val="20"/>
          <w:lang w:val="en-US"/>
        </w:rPr>
        <w:t xml:space="preserve"> S&amp;P500. </w:t>
      </w:r>
    </w:p>
    <w:p w14:paraId="207AA8DC" w14:textId="1B6A6D75" w:rsidR="00EA2CFA" w:rsidRPr="001064AB" w:rsidRDefault="00EA2CFA">
      <w:pPr>
        <w:rPr>
          <w:sz w:val="20"/>
          <w:szCs w:val="20"/>
          <w:lang w:val="en-US"/>
        </w:rPr>
      </w:pPr>
      <w:r w:rsidRPr="001064AB">
        <w:rPr>
          <w:sz w:val="20"/>
          <w:szCs w:val="20"/>
          <w:lang w:val="en-US"/>
        </w:rPr>
        <w:t xml:space="preserve">I have chosen the Technology Select Sector SPDR Fund(XLK) and </w:t>
      </w:r>
      <w:r w:rsidR="00F8220F">
        <w:rPr>
          <w:sz w:val="20"/>
          <w:szCs w:val="20"/>
          <w:lang w:val="en-US"/>
        </w:rPr>
        <w:t xml:space="preserve">a </w:t>
      </w:r>
      <w:r w:rsidR="00F8220F" w:rsidRPr="001064AB">
        <w:rPr>
          <w:sz w:val="20"/>
          <w:szCs w:val="20"/>
          <w:lang w:val="en-US"/>
        </w:rPr>
        <w:t>dozens</w:t>
      </w:r>
      <w:r w:rsidRPr="001064AB">
        <w:rPr>
          <w:sz w:val="20"/>
          <w:szCs w:val="20"/>
          <w:lang w:val="en-US"/>
        </w:rPr>
        <w:t xml:space="preserve"> of technology stocks as our toy example. I want to show the feasibility </w:t>
      </w:r>
      <w:r w:rsidR="00F8220F">
        <w:rPr>
          <w:sz w:val="20"/>
          <w:szCs w:val="20"/>
          <w:lang w:val="en-US"/>
        </w:rPr>
        <w:t>and the</w:t>
      </w:r>
      <w:r w:rsidRPr="001064AB">
        <w:rPr>
          <w:sz w:val="20"/>
          <w:szCs w:val="20"/>
          <w:lang w:val="en-US"/>
        </w:rPr>
        <w:t xml:space="preserve"> viability of three major </w:t>
      </w:r>
      <w:r w:rsidR="00F8220F">
        <w:rPr>
          <w:sz w:val="20"/>
          <w:szCs w:val="20"/>
          <w:lang w:val="en-US"/>
        </w:rPr>
        <w:t>approaches</w:t>
      </w:r>
      <w:r w:rsidRPr="001064AB">
        <w:rPr>
          <w:sz w:val="20"/>
          <w:szCs w:val="20"/>
          <w:lang w:val="en-US"/>
        </w:rPr>
        <w:t>, 1.</w:t>
      </w:r>
      <w:r w:rsidR="00F8220F">
        <w:rPr>
          <w:sz w:val="20"/>
          <w:szCs w:val="20"/>
          <w:lang w:val="en-US"/>
        </w:rPr>
        <w:t xml:space="preserve"> The</w:t>
      </w:r>
      <w:r w:rsidRPr="001064AB">
        <w:rPr>
          <w:sz w:val="20"/>
          <w:szCs w:val="20"/>
          <w:lang w:val="en-US"/>
        </w:rPr>
        <w:t xml:space="preserve"> Co-integration</w:t>
      </w:r>
      <w:r w:rsidR="00F8220F">
        <w:rPr>
          <w:sz w:val="20"/>
          <w:szCs w:val="20"/>
          <w:lang w:val="en-US"/>
        </w:rPr>
        <w:t>/ Spread</w:t>
      </w:r>
      <w:r w:rsidRPr="001064AB">
        <w:rPr>
          <w:sz w:val="20"/>
          <w:szCs w:val="20"/>
          <w:lang w:val="en-US"/>
        </w:rPr>
        <w:t xml:space="preserve"> approach 2. </w:t>
      </w:r>
      <w:r w:rsidR="00F8220F">
        <w:rPr>
          <w:sz w:val="20"/>
          <w:szCs w:val="20"/>
          <w:lang w:val="en-US"/>
        </w:rPr>
        <w:t>the</w:t>
      </w:r>
      <w:r w:rsidRPr="001064AB">
        <w:rPr>
          <w:sz w:val="20"/>
          <w:szCs w:val="20"/>
          <w:lang w:val="en-US"/>
        </w:rPr>
        <w:t xml:space="preserve"> copula approach </w:t>
      </w:r>
      <w:r w:rsidR="00F8220F">
        <w:rPr>
          <w:sz w:val="20"/>
          <w:szCs w:val="20"/>
          <w:lang w:val="en-US"/>
        </w:rPr>
        <w:t>3. A contra-trend approach 4</w:t>
      </w:r>
      <w:r w:rsidRPr="001064AB">
        <w:rPr>
          <w:sz w:val="20"/>
          <w:szCs w:val="20"/>
          <w:lang w:val="en-US"/>
        </w:rPr>
        <w:t>.</w:t>
      </w:r>
      <w:r w:rsidR="00F8220F">
        <w:rPr>
          <w:sz w:val="20"/>
          <w:szCs w:val="20"/>
          <w:lang w:val="en-US"/>
        </w:rPr>
        <w:t xml:space="preserve"> a</w:t>
      </w:r>
      <w:r w:rsidRPr="001064AB">
        <w:rPr>
          <w:sz w:val="20"/>
          <w:szCs w:val="20"/>
          <w:lang w:val="en-US"/>
        </w:rPr>
        <w:t xml:space="preserve"> </w:t>
      </w:r>
      <w:r w:rsidR="00F8220F">
        <w:rPr>
          <w:sz w:val="20"/>
          <w:szCs w:val="20"/>
          <w:lang w:val="en-US"/>
        </w:rPr>
        <w:t>XGB</w:t>
      </w:r>
      <w:r w:rsidRPr="001064AB">
        <w:rPr>
          <w:sz w:val="20"/>
          <w:szCs w:val="20"/>
          <w:lang w:val="en-US"/>
        </w:rPr>
        <w:t xml:space="preserve"> approach. The former two </w:t>
      </w:r>
      <w:r w:rsidR="00F8220F">
        <w:rPr>
          <w:sz w:val="20"/>
          <w:szCs w:val="20"/>
          <w:lang w:val="en-US"/>
        </w:rPr>
        <w:t>have been</w:t>
      </w:r>
      <w:r w:rsidRPr="001064AB">
        <w:rPr>
          <w:sz w:val="20"/>
          <w:szCs w:val="20"/>
          <w:lang w:val="en-US"/>
        </w:rPr>
        <w:t xml:space="preserve"> widely discussed and implemented in literature (</w:t>
      </w:r>
      <w:proofErr w:type="spellStart"/>
      <w:r w:rsidRPr="001064AB">
        <w:rPr>
          <w:sz w:val="20"/>
          <w:szCs w:val="20"/>
          <w:lang w:val="en-US"/>
        </w:rPr>
        <w:t>Liew</w:t>
      </w:r>
      <w:proofErr w:type="spellEnd"/>
      <w:r w:rsidRPr="001064AB">
        <w:rPr>
          <w:sz w:val="20"/>
          <w:szCs w:val="20"/>
          <w:lang w:val="en-US"/>
        </w:rPr>
        <w:t>, R., Wu, Y. Pairs trading: A copula approach. 2013) and I want to show how</w:t>
      </w:r>
      <w:r w:rsidR="00D14BC9" w:rsidRPr="001064AB">
        <w:rPr>
          <w:sz w:val="20"/>
          <w:szCs w:val="20"/>
          <w:lang w:val="en-US"/>
        </w:rPr>
        <w:t xml:space="preserve"> may</w:t>
      </w:r>
      <w:r w:rsidR="00F8220F">
        <w:rPr>
          <w:sz w:val="20"/>
          <w:szCs w:val="20"/>
          <w:lang w:val="en-US"/>
        </w:rPr>
        <w:t xml:space="preserve"> trend statistics and ML add</w:t>
      </w:r>
      <w:r w:rsidRPr="001064AB">
        <w:rPr>
          <w:sz w:val="20"/>
          <w:szCs w:val="20"/>
          <w:lang w:val="en-US"/>
        </w:rPr>
        <w:t xml:space="preserve"> value in portfolio optimization/ market timing.</w:t>
      </w:r>
    </w:p>
    <w:p w14:paraId="1CACB80C" w14:textId="77777777" w:rsidR="00EA2CFA" w:rsidRPr="001064AB" w:rsidRDefault="00EA2CFA">
      <w:pPr>
        <w:rPr>
          <w:sz w:val="20"/>
          <w:szCs w:val="20"/>
          <w:lang w:val="en-US"/>
        </w:rPr>
      </w:pPr>
    </w:p>
    <w:p w14:paraId="291D59B6" w14:textId="77777777" w:rsidR="00EA2CFA" w:rsidRPr="001064AB" w:rsidRDefault="00EA2CFA">
      <w:pPr>
        <w:rPr>
          <w:sz w:val="20"/>
          <w:szCs w:val="20"/>
          <w:lang w:val="en-US"/>
        </w:rPr>
      </w:pPr>
      <w:r w:rsidRPr="001064AB">
        <w:rPr>
          <w:sz w:val="20"/>
          <w:szCs w:val="20"/>
          <w:lang w:val="en-US"/>
        </w:rPr>
        <w:t>Methodology</w:t>
      </w:r>
    </w:p>
    <w:p w14:paraId="66075B2E" w14:textId="4EF87315" w:rsidR="00EA2CFA" w:rsidRPr="001064AB" w:rsidRDefault="007D766F" w:rsidP="00EA2CFA">
      <w:pPr>
        <w:rPr>
          <w:sz w:val="20"/>
          <w:szCs w:val="20"/>
          <w:lang w:val="en-US"/>
        </w:rPr>
      </w:pPr>
      <w:r w:rsidRPr="001064AB">
        <w:rPr>
          <w:sz w:val="20"/>
          <w:szCs w:val="20"/>
          <w:lang w:val="en-US"/>
        </w:rPr>
        <w:t>Spread</w:t>
      </w:r>
      <w:r w:rsidR="00EA2CFA" w:rsidRPr="001064AB">
        <w:rPr>
          <w:sz w:val="20"/>
          <w:szCs w:val="20"/>
          <w:lang w:val="en-US"/>
        </w:rPr>
        <w:t>:</w:t>
      </w:r>
    </w:p>
    <w:p w14:paraId="4341D92A" w14:textId="77777777" w:rsidR="00EA2CFA" w:rsidRPr="001064AB" w:rsidRDefault="00EA2CFA" w:rsidP="00EA2CFA">
      <w:pPr>
        <w:rPr>
          <w:sz w:val="20"/>
          <w:szCs w:val="20"/>
          <w:lang w:val="en-US"/>
        </w:rPr>
      </w:pPr>
      <w:r w:rsidRPr="001064AB">
        <w:rPr>
          <w:sz w:val="20"/>
          <w:szCs w:val="20"/>
          <w:lang w:val="en-US"/>
        </w:rPr>
        <w:t xml:space="preserve">We can model the spread between the individual stock and the related </w:t>
      </w:r>
      <w:proofErr w:type="spellStart"/>
      <w:r w:rsidRPr="001064AB">
        <w:rPr>
          <w:sz w:val="20"/>
          <w:szCs w:val="20"/>
          <w:lang w:val="en-US"/>
        </w:rPr>
        <w:t>etf</w:t>
      </w:r>
      <w:proofErr w:type="spellEnd"/>
      <w:r w:rsidRPr="001064AB">
        <w:rPr>
          <w:sz w:val="20"/>
          <w:szCs w:val="20"/>
          <w:lang w:val="en-US"/>
        </w:rPr>
        <w:t xml:space="preserve"> as </w:t>
      </w:r>
    </w:p>
    <w:p w14:paraId="5034F7D9" w14:textId="77777777" w:rsidR="002D48C2" w:rsidRPr="001064AB" w:rsidRDefault="00EA2CFA" w:rsidP="002D48C2">
      <w:pPr>
        <w:ind w:firstLine="720"/>
        <w:rPr>
          <w:rFonts w:ascii="Courier New" w:hAnsi="Courier New" w:cs="Courier New"/>
          <w:sz w:val="20"/>
          <w:szCs w:val="20"/>
          <w:lang w:eastAsia="en-GB"/>
        </w:rPr>
      </w:pPr>
      <w:proofErr w:type="spellStart"/>
      <w:r w:rsidRPr="001064AB">
        <w:rPr>
          <w:rFonts w:ascii="Courier New" w:hAnsi="Courier New" w:cs="Courier New"/>
          <w:sz w:val="20"/>
          <w:szCs w:val="20"/>
          <w:lang w:eastAsia="en-GB"/>
        </w:rPr>
        <w:t>log_</w:t>
      </w:r>
      <w:r w:rsidR="002D48C2" w:rsidRPr="001064AB">
        <w:rPr>
          <w:rFonts w:ascii="Courier New" w:hAnsi="Courier New" w:cs="Courier New"/>
          <w:sz w:val="20"/>
          <w:szCs w:val="20"/>
          <w:lang w:eastAsia="en-GB"/>
        </w:rPr>
        <w:t>etf_price</w:t>
      </w:r>
      <w:proofErr w:type="spellEnd"/>
      <w:r w:rsidR="002D48C2" w:rsidRPr="001064AB">
        <w:rPr>
          <w:rFonts w:ascii="Courier New" w:hAnsi="Courier New" w:cs="Courier New"/>
          <w:sz w:val="20"/>
          <w:szCs w:val="20"/>
          <w:lang w:eastAsia="en-GB"/>
        </w:rPr>
        <w:t xml:space="preserve"> - beta*</w:t>
      </w:r>
      <w:proofErr w:type="spellStart"/>
      <w:r w:rsidR="002D48C2" w:rsidRPr="001064AB">
        <w:rPr>
          <w:rFonts w:ascii="Courier New" w:hAnsi="Courier New" w:cs="Courier New"/>
          <w:sz w:val="20"/>
          <w:szCs w:val="20"/>
          <w:lang w:eastAsia="en-GB"/>
        </w:rPr>
        <w:t>log_stock_price</w:t>
      </w:r>
      <w:proofErr w:type="spellEnd"/>
      <w:r w:rsidRPr="001064AB">
        <w:rPr>
          <w:rFonts w:ascii="Courier New" w:hAnsi="Courier New" w:cs="Courier New"/>
          <w:sz w:val="20"/>
          <w:szCs w:val="20"/>
          <w:lang w:eastAsia="en-GB"/>
        </w:rPr>
        <w:t xml:space="preserve"> = v where v ~ </w:t>
      </w:r>
      <w:proofErr w:type="gramStart"/>
      <w:r w:rsidRPr="001064AB">
        <w:rPr>
          <w:rFonts w:ascii="Courier New" w:hAnsi="Courier New" w:cs="Courier New"/>
          <w:sz w:val="20"/>
          <w:szCs w:val="20"/>
          <w:lang w:eastAsia="en-GB"/>
        </w:rPr>
        <w:t>N(</w:t>
      </w:r>
      <w:proofErr w:type="gramEnd"/>
      <w:r w:rsidRPr="001064AB">
        <w:rPr>
          <w:rFonts w:ascii="Courier New" w:hAnsi="Courier New" w:cs="Courier New"/>
          <w:sz w:val="20"/>
          <w:szCs w:val="20"/>
          <w:lang w:eastAsia="en-GB"/>
        </w:rPr>
        <w:t>mu, sig)</w:t>
      </w:r>
    </w:p>
    <w:p w14:paraId="1B1526A3" w14:textId="48400DDA" w:rsidR="002D48C2" w:rsidRPr="001064AB" w:rsidRDefault="00BE1EDB" w:rsidP="002D48C2">
      <w:pPr>
        <w:rPr>
          <w:sz w:val="20"/>
          <w:szCs w:val="20"/>
          <w:lang w:val="en-US"/>
        </w:rPr>
      </w:pPr>
      <w:r w:rsidRPr="001064AB">
        <w:rPr>
          <w:sz w:val="20"/>
          <w:szCs w:val="20"/>
          <w:lang w:val="en-US"/>
        </w:rPr>
        <w:t xml:space="preserve">where beta is the log prices regression coefficient. </w:t>
      </w:r>
      <w:r w:rsidR="00E04D16" w:rsidRPr="001064AB">
        <w:rPr>
          <w:sz w:val="20"/>
          <w:szCs w:val="20"/>
          <w:lang w:val="en-US"/>
        </w:rPr>
        <w:t xml:space="preserve">The </w:t>
      </w:r>
      <w:proofErr w:type="spellStart"/>
      <w:r w:rsidR="00E04D16" w:rsidRPr="001064AB">
        <w:rPr>
          <w:sz w:val="20"/>
          <w:szCs w:val="20"/>
          <w:lang w:val="en-US"/>
        </w:rPr>
        <w:t>stationarity</w:t>
      </w:r>
      <w:proofErr w:type="spellEnd"/>
      <w:r w:rsidRPr="001064AB">
        <w:rPr>
          <w:sz w:val="20"/>
          <w:szCs w:val="20"/>
          <w:lang w:val="en-US"/>
        </w:rPr>
        <w:t xml:space="preserve"> of the spread</w:t>
      </w:r>
      <w:r w:rsidR="00E04D16" w:rsidRPr="001064AB">
        <w:rPr>
          <w:sz w:val="20"/>
          <w:szCs w:val="20"/>
          <w:lang w:val="en-US"/>
        </w:rPr>
        <w:t xml:space="preserve"> is ensured </w:t>
      </w:r>
      <w:r w:rsidRPr="001064AB">
        <w:rPr>
          <w:sz w:val="20"/>
          <w:szCs w:val="20"/>
          <w:lang w:val="en-US"/>
        </w:rPr>
        <w:t xml:space="preserve">as the spread passed the ADF test for all pairs </w:t>
      </w:r>
      <w:r w:rsidR="00E04D16" w:rsidRPr="001064AB">
        <w:rPr>
          <w:sz w:val="20"/>
          <w:szCs w:val="20"/>
          <w:lang w:val="en-US"/>
        </w:rPr>
        <w:t xml:space="preserve">after </w:t>
      </w:r>
      <w:r w:rsidRPr="001064AB">
        <w:rPr>
          <w:sz w:val="20"/>
          <w:szCs w:val="20"/>
          <w:lang w:val="en-US"/>
        </w:rPr>
        <w:t xml:space="preserve">normalize by its rolling mean and standard deviation. The strategy long the </w:t>
      </w:r>
      <w:proofErr w:type="spellStart"/>
      <w:r w:rsidRPr="001064AB">
        <w:rPr>
          <w:sz w:val="20"/>
          <w:szCs w:val="20"/>
          <w:lang w:val="en-US"/>
        </w:rPr>
        <w:t>etf</w:t>
      </w:r>
      <w:proofErr w:type="spellEnd"/>
      <w:r w:rsidRPr="001064AB">
        <w:rPr>
          <w:sz w:val="20"/>
          <w:szCs w:val="20"/>
          <w:lang w:val="en-US"/>
        </w:rPr>
        <w:t xml:space="preserve"> and short the stock when the spread is lower than -1.645 (stock overvalued, </w:t>
      </w:r>
      <w:proofErr w:type="spellStart"/>
      <w:r w:rsidRPr="001064AB">
        <w:rPr>
          <w:sz w:val="20"/>
          <w:szCs w:val="20"/>
          <w:lang w:val="en-US"/>
        </w:rPr>
        <w:t>etf</w:t>
      </w:r>
      <w:proofErr w:type="spellEnd"/>
      <w:r w:rsidRPr="001064AB">
        <w:rPr>
          <w:sz w:val="20"/>
          <w:szCs w:val="20"/>
          <w:lang w:val="en-US"/>
        </w:rPr>
        <w:t xml:space="preserve"> undervalued, spread narrows) and short the </w:t>
      </w:r>
      <w:proofErr w:type="spellStart"/>
      <w:r w:rsidRPr="001064AB">
        <w:rPr>
          <w:sz w:val="20"/>
          <w:szCs w:val="20"/>
          <w:lang w:val="en-US"/>
        </w:rPr>
        <w:t>etf</w:t>
      </w:r>
      <w:proofErr w:type="spellEnd"/>
      <w:r w:rsidRPr="001064AB">
        <w:rPr>
          <w:sz w:val="20"/>
          <w:szCs w:val="20"/>
          <w:lang w:val="en-US"/>
        </w:rPr>
        <w:t xml:space="preserve"> and long the stock when the spread is higher than 1.645 (stock </w:t>
      </w:r>
      <w:proofErr w:type="spellStart"/>
      <w:r w:rsidRPr="001064AB">
        <w:rPr>
          <w:sz w:val="20"/>
          <w:szCs w:val="20"/>
          <w:lang w:val="en-US"/>
        </w:rPr>
        <w:t>undevalued</w:t>
      </w:r>
      <w:proofErr w:type="spellEnd"/>
      <w:r w:rsidRPr="001064AB">
        <w:rPr>
          <w:sz w:val="20"/>
          <w:szCs w:val="20"/>
          <w:lang w:val="en-US"/>
        </w:rPr>
        <w:t xml:space="preserve">, </w:t>
      </w:r>
      <w:proofErr w:type="spellStart"/>
      <w:r w:rsidRPr="001064AB">
        <w:rPr>
          <w:sz w:val="20"/>
          <w:szCs w:val="20"/>
          <w:lang w:val="en-US"/>
        </w:rPr>
        <w:t>etf</w:t>
      </w:r>
      <w:proofErr w:type="spellEnd"/>
      <w:r w:rsidRPr="001064AB">
        <w:rPr>
          <w:sz w:val="20"/>
          <w:szCs w:val="20"/>
          <w:lang w:val="en-US"/>
        </w:rPr>
        <w:t xml:space="preserve"> overvalued, spread widens). Other confidence interval can be chosen. For now</w:t>
      </w:r>
      <w:r w:rsidR="008E4BF1" w:rsidRPr="001064AB">
        <w:rPr>
          <w:sz w:val="20"/>
          <w:szCs w:val="20"/>
          <w:lang w:val="en-US"/>
        </w:rPr>
        <w:t>,</w:t>
      </w:r>
      <w:r w:rsidRPr="001064AB">
        <w:rPr>
          <w:sz w:val="20"/>
          <w:szCs w:val="20"/>
          <w:lang w:val="en-US"/>
        </w:rPr>
        <w:t xml:space="preserve"> </w:t>
      </w:r>
      <w:r w:rsidR="00F8220F">
        <w:rPr>
          <w:sz w:val="20"/>
          <w:szCs w:val="20"/>
          <w:lang w:val="en-US"/>
        </w:rPr>
        <w:t>to</w:t>
      </w:r>
      <w:r w:rsidRPr="001064AB">
        <w:rPr>
          <w:sz w:val="20"/>
          <w:szCs w:val="20"/>
          <w:lang w:val="en-US"/>
        </w:rPr>
        <w:t xml:space="preserve"> keep things simple, long/ short same unit of </w:t>
      </w:r>
      <w:r w:rsidR="00312BEC" w:rsidRPr="001064AB">
        <w:rPr>
          <w:sz w:val="20"/>
          <w:szCs w:val="20"/>
          <w:lang w:val="en-US"/>
        </w:rPr>
        <w:t xml:space="preserve">stocks and </w:t>
      </w:r>
      <w:proofErr w:type="spellStart"/>
      <w:r w:rsidR="00312BEC" w:rsidRPr="001064AB">
        <w:rPr>
          <w:sz w:val="20"/>
          <w:szCs w:val="20"/>
          <w:lang w:val="en-US"/>
        </w:rPr>
        <w:t>etfs</w:t>
      </w:r>
      <w:proofErr w:type="spellEnd"/>
      <w:r w:rsidR="00312BEC" w:rsidRPr="001064AB">
        <w:rPr>
          <w:sz w:val="20"/>
          <w:szCs w:val="20"/>
          <w:lang w:val="en-US"/>
        </w:rPr>
        <w:t xml:space="preserve">. Ideally we need to model the correct hedge ratio and bet size (1/2 Kelly’s </w:t>
      </w:r>
      <w:r w:rsidR="009C2A15" w:rsidRPr="001064AB">
        <w:rPr>
          <w:sz w:val="20"/>
          <w:szCs w:val="20"/>
          <w:lang w:val="en-US"/>
        </w:rPr>
        <w:t>Criteria</w:t>
      </w:r>
      <w:bookmarkStart w:id="0" w:name="_GoBack"/>
      <w:bookmarkEnd w:id="0"/>
      <w:r w:rsidR="00312BEC" w:rsidRPr="001064AB">
        <w:rPr>
          <w:sz w:val="20"/>
          <w:szCs w:val="20"/>
          <w:lang w:val="en-US"/>
        </w:rPr>
        <w:t>)</w:t>
      </w:r>
    </w:p>
    <w:p w14:paraId="1577F6C9" w14:textId="77777777" w:rsidR="00312BEC" w:rsidRPr="001064AB" w:rsidRDefault="00312BEC" w:rsidP="002D48C2">
      <w:pPr>
        <w:rPr>
          <w:sz w:val="20"/>
          <w:szCs w:val="20"/>
          <w:lang w:val="en-US"/>
        </w:rPr>
      </w:pPr>
    </w:p>
    <w:p w14:paraId="36434002" w14:textId="77777777" w:rsidR="00312BEC" w:rsidRPr="001064AB" w:rsidRDefault="00312BEC" w:rsidP="002D48C2">
      <w:pPr>
        <w:rPr>
          <w:sz w:val="20"/>
          <w:szCs w:val="20"/>
          <w:lang w:val="en-US"/>
        </w:rPr>
      </w:pPr>
      <w:r w:rsidRPr="001064AB">
        <w:rPr>
          <w:sz w:val="20"/>
          <w:szCs w:val="20"/>
          <w:lang w:val="en-US"/>
        </w:rPr>
        <w:t>Copulas:</w:t>
      </w:r>
    </w:p>
    <w:p w14:paraId="4CFB4F0A" w14:textId="7B29F83D" w:rsidR="00312BEC" w:rsidRPr="001064AB" w:rsidRDefault="00312BEC" w:rsidP="00312BEC">
      <w:pPr>
        <w:rPr>
          <w:sz w:val="20"/>
          <w:szCs w:val="20"/>
        </w:rPr>
      </w:pPr>
      <w:r w:rsidRPr="001064AB">
        <w:rPr>
          <w:sz w:val="20"/>
          <w:szCs w:val="20"/>
        </w:rPr>
        <w:t xml:space="preserve">As Rad, </w:t>
      </w:r>
      <w:proofErr w:type="spellStart"/>
      <w:r w:rsidRPr="001064AB">
        <w:rPr>
          <w:sz w:val="20"/>
          <w:szCs w:val="20"/>
        </w:rPr>
        <w:t>Hossein</w:t>
      </w:r>
      <w:proofErr w:type="spellEnd"/>
      <w:r w:rsidRPr="001064AB">
        <w:rPr>
          <w:sz w:val="20"/>
          <w:szCs w:val="20"/>
        </w:rPr>
        <w:t xml:space="preserve"> and Low, Rand </w:t>
      </w:r>
      <w:proofErr w:type="spellStart"/>
      <w:r w:rsidRPr="001064AB">
        <w:rPr>
          <w:sz w:val="20"/>
          <w:szCs w:val="20"/>
        </w:rPr>
        <w:t>Kwong</w:t>
      </w:r>
      <w:proofErr w:type="spellEnd"/>
      <w:r w:rsidRPr="001064AB">
        <w:rPr>
          <w:sz w:val="20"/>
          <w:szCs w:val="20"/>
        </w:rPr>
        <w:t xml:space="preserve"> Yew and Faff, Robert W., The Profitability of Pairs Trading Strategies: Distance, </w:t>
      </w:r>
      <w:proofErr w:type="spellStart"/>
      <w:r w:rsidRPr="001064AB">
        <w:rPr>
          <w:sz w:val="20"/>
          <w:szCs w:val="20"/>
        </w:rPr>
        <w:t>Cointegration</w:t>
      </w:r>
      <w:proofErr w:type="spellEnd"/>
      <w:r w:rsidRPr="001064AB">
        <w:rPr>
          <w:sz w:val="20"/>
          <w:szCs w:val="20"/>
        </w:rPr>
        <w:t>, and Copula Methods (June 3, 2015) pointed out, normality assumption on the spread residuals may not always hold and it may miss out on trading opportunities. Copula function, a cumulative distribution describes the dependencies between two random uniform variables for each variable’s marginal distribution (</w:t>
      </w:r>
      <w:proofErr w:type="spellStart"/>
      <w:r w:rsidRPr="001064AB">
        <w:rPr>
          <w:sz w:val="20"/>
          <w:szCs w:val="20"/>
        </w:rPr>
        <w:t>Sklar’s</w:t>
      </w:r>
      <w:proofErr w:type="spellEnd"/>
      <w:r w:rsidRPr="001064AB">
        <w:rPr>
          <w:sz w:val="20"/>
          <w:szCs w:val="20"/>
        </w:rPr>
        <w:t xml:space="preserve"> theorem). We first transform the market returns of the pair into uniform distributed variables via their respective empirical cumulative distribution function</w:t>
      </w:r>
      <w:r w:rsidR="00F8220F">
        <w:rPr>
          <w:sz w:val="20"/>
          <w:szCs w:val="20"/>
        </w:rPr>
        <w:t xml:space="preserve">s, which are modelled in-sample (temporarily ignore over-fitting for this example). </w:t>
      </w:r>
      <w:r w:rsidRPr="001064AB">
        <w:rPr>
          <w:sz w:val="20"/>
          <w:szCs w:val="20"/>
        </w:rPr>
        <w:t xml:space="preserve">Clayton’s copula is used here as there is an explicit function of the two uniform random variables defined by theta while other copula functions (e.g. Student’s t copula, Frank, </w:t>
      </w:r>
      <w:proofErr w:type="spellStart"/>
      <w:r w:rsidRPr="001064AB">
        <w:rPr>
          <w:sz w:val="20"/>
          <w:szCs w:val="20"/>
        </w:rPr>
        <w:t>Gumbel</w:t>
      </w:r>
      <w:proofErr w:type="spellEnd"/>
      <w:r w:rsidRPr="001064AB">
        <w:rPr>
          <w:sz w:val="20"/>
          <w:szCs w:val="20"/>
        </w:rPr>
        <w:t xml:space="preserve">) should also be tested and decided based on AIC/ BIC criteria. The theta is obtained in-sample using </w:t>
      </w:r>
      <w:proofErr w:type="spellStart"/>
      <w:r w:rsidRPr="001064AB">
        <w:rPr>
          <w:sz w:val="20"/>
          <w:szCs w:val="20"/>
        </w:rPr>
        <w:t>kendall’s</w:t>
      </w:r>
      <w:proofErr w:type="spellEnd"/>
      <w:r w:rsidRPr="001064AB">
        <w:rPr>
          <w:sz w:val="20"/>
          <w:szCs w:val="20"/>
        </w:rPr>
        <w:t xml:space="preserve"> tau (see </w:t>
      </w:r>
      <w:proofErr w:type="spellStart"/>
      <w:r w:rsidRPr="001064AB">
        <w:rPr>
          <w:sz w:val="20"/>
          <w:szCs w:val="20"/>
        </w:rPr>
        <w:t>Genest</w:t>
      </w:r>
      <w:proofErr w:type="spellEnd"/>
      <w:r w:rsidRPr="001064AB">
        <w:rPr>
          <w:sz w:val="20"/>
          <w:szCs w:val="20"/>
        </w:rPr>
        <w:t xml:space="preserve">, C., &amp; MacKay, J. (1986). The Joy of Copulas: Bivariate Distributions with Uniform </w:t>
      </w:r>
      <w:proofErr w:type="spellStart"/>
      <w:r w:rsidRPr="001064AB">
        <w:rPr>
          <w:sz w:val="20"/>
          <w:szCs w:val="20"/>
        </w:rPr>
        <w:t>Marginals</w:t>
      </w:r>
      <w:proofErr w:type="spellEnd"/>
      <w:r w:rsidRPr="001064AB">
        <w:rPr>
          <w:sz w:val="20"/>
          <w:szCs w:val="20"/>
        </w:rPr>
        <w:t xml:space="preserve">.). The theta, the two ECDFs ideally should be rolling or exponentially weighted as old returns distribution might not be representative of future returns. KL-divergence can reveal if the return distribution shifted significantly throughout time. </w:t>
      </w:r>
    </w:p>
    <w:p w14:paraId="601402F4" w14:textId="77777777" w:rsidR="00312BEC" w:rsidRPr="001064AB" w:rsidRDefault="00312BEC" w:rsidP="00254BFA">
      <w:pPr>
        <w:jc w:val="center"/>
        <w:rPr>
          <w:sz w:val="20"/>
          <w:szCs w:val="20"/>
        </w:rPr>
      </w:pPr>
      <w:r w:rsidRPr="001064AB">
        <w:rPr>
          <w:sz w:val="20"/>
          <w:szCs w:val="20"/>
        </w:rPr>
        <w:t>P(</w:t>
      </w:r>
      <w:proofErr w:type="spellStart"/>
      <w:r w:rsidRPr="001064AB">
        <w:rPr>
          <w:sz w:val="20"/>
          <w:szCs w:val="20"/>
        </w:rPr>
        <w:t>V≤v</w:t>
      </w:r>
      <w:r w:rsidRPr="001064AB">
        <w:rPr>
          <w:rFonts w:ascii="MS Mincho" w:eastAsia="MS Mincho" w:hAnsi="MS Mincho" w:cs="MS Mincho"/>
          <w:sz w:val="20"/>
          <w:szCs w:val="20"/>
        </w:rPr>
        <w:t>∣</w:t>
      </w:r>
      <w:r w:rsidRPr="001064AB">
        <w:rPr>
          <w:sz w:val="20"/>
          <w:szCs w:val="20"/>
        </w:rPr>
        <w:t>U≤</w:t>
      </w:r>
      <w:proofErr w:type="gramStart"/>
      <w:r w:rsidRPr="001064AB">
        <w:rPr>
          <w:sz w:val="20"/>
          <w:szCs w:val="20"/>
        </w:rPr>
        <w:t>u</w:t>
      </w:r>
      <w:proofErr w:type="spellEnd"/>
      <w:r w:rsidRPr="001064AB">
        <w:rPr>
          <w:sz w:val="20"/>
          <w:szCs w:val="20"/>
        </w:rPr>
        <w:t>)=</w:t>
      </w:r>
      <w:proofErr w:type="gramEnd"/>
      <w:r w:rsidRPr="001064AB">
        <w:rPr>
          <w:sz w:val="20"/>
          <w:szCs w:val="20"/>
        </w:rPr>
        <w:t>∂C(</w:t>
      </w:r>
      <w:proofErr w:type="spellStart"/>
      <w:r w:rsidRPr="001064AB">
        <w:rPr>
          <w:sz w:val="20"/>
          <w:szCs w:val="20"/>
        </w:rPr>
        <w:t>u,v</w:t>
      </w:r>
      <w:proofErr w:type="spellEnd"/>
      <w:r w:rsidRPr="001064AB">
        <w:rPr>
          <w:sz w:val="20"/>
          <w:szCs w:val="20"/>
        </w:rPr>
        <w:t>)/∂u</w:t>
      </w:r>
    </w:p>
    <w:p w14:paraId="7AC2400D" w14:textId="77777777" w:rsidR="00254BFA" w:rsidRPr="001064AB" w:rsidRDefault="00254BFA" w:rsidP="00254BFA">
      <w:pPr>
        <w:jc w:val="center"/>
        <w:rPr>
          <w:sz w:val="20"/>
          <w:szCs w:val="20"/>
        </w:rPr>
      </w:pPr>
      <w:r w:rsidRPr="001064AB">
        <w:rPr>
          <w:sz w:val="20"/>
          <w:szCs w:val="20"/>
        </w:rPr>
        <w:t>P(</w:t>
      </w:r>
      <w:proofErr w:type="spellStart"/>
      <w:r w:rsidRPr="001064AB">
        <w:rPr>
          <w:sz w:val="20"/>
          <w:szCs w:val="20"/>
        </w:rPr>
        <w:t>U≤u</w:t>
      </w:r>
      <w:r w:rsidRPr="001064AB">
        <w:rPr>
          <w:rFonts w:ascii="MS Mincho" w:eastAsia="MS Mincho" w:hAnsi="MS Mincho" w:cs="MS Mincho"/>
          <w:sz w:val="20"/>
          <w:szCs w:val="20"/>
        </w:rPr>
        <w:t>∣</w:t>
      </w:r>
      <w:r w:rsidRPr="001064AB">
        <w:rPr>
          <w:sz w:val="20"/>
          <w:szCs w:val="20"/>
        </w:rPr>
        <w:t>V≤v</w:t>
      </w:r>
      <w:proofErr w:type="spellEnd"/>
      <w:proofErr w:type="gramStart"/>
      <w:r w:rsidRPr="001064AB">
        <w:rPr>
          <w:sz w:val="20"/>
          <w:szCs w:val="20"/>
        </w:rPr>
        <w:t>) )</w:t>
      </w:r>
      <w:proofErr w:type="gramEnd"/>
      <w:r w:rsidRPr="001064AB">
        <w:rPr>
          <w:sz w:val="20"/>
          <w:szCs w:val="20"/>
        </w:rPr>
        <w:t>=∂C(</w:t>
      </w:r>
      <w:proofErr w:type="spellStart"/>
      <w:r w:rsidRPr="001064AB">
        <w:rPr>
          <w:sz w:val="20"/>
          <w:szCs w:val="20"/>
        </w:rPr>
        <w:t>u,v</w:t>
      </w:r>
      <w:proofErr w:type="spellEnd"/>
      <w:r w:rsidRPr="001064AB">
        <w:rPr>
          <w:sz w:val="20"/>
          <w:szCs w:val="20"/>
        </w:rPr>
        <w:t>)/∂v</w:t>
      </w:r>
    </w:p>
    <w:p w14:paraId="092024C4" w14:textId="603E7DA3" w:rsidR="00312BEC" w:rsidRPr="001064AB" w:rsidRDefault="00254BFA" w:rsidP="00312BEC">
      <w:pPr>
        <w:rPr>
          <w:sz w:val="20"/>
          <w:szCs w:val="20"/>
        </w:rPr>
      </w:pPr>
      <w:r w:rsidRPr="001064AB">
        <w:rPr>
          <w:sz w:val="20"/>
          <w:szCs w:val="20"/>
        </w:rPr>
        <w:t xml:space="preserve">Let u be the uniform random transformed price returns of the stock and v be the uniform random transformed price returns of the </w:t>
      </w:r>
      <w:proofErr w:type="spellStart"/>
      <w:r w:rsidR="00C7205A">
        <w:rPr>
          <w:sz w:val="20"/>
          <w:szCs w:val="20"/>
        </w:rPr>
        <w:t>etf</w:t>
      </w:r>
      <w:proofErr w:type="spellEnd"/>
      <w:r w:rsidR="00C7205A">
        <w:rPr>
          <w:sz w:val="20"/>
          <w:szCs w:val="20"/>
        </w:rPr>
        <w:t>.</w:t>
      </w:r>
      <w:r w:rsidRPr="001064AB">
        <w:rPr>
          <w:sz w:val="20"/>
          <w:szCs w:val="20"/>
        </w:rPr>
        <w:t xml:space="preserve"> </w:t>
      </w:r>
      <w:r w:rsidR="00312BEC" w:rsidRPr="001064AB">
        <w:rPr>
          <w:sz w:val="20"/>
          <w:szCs w:val="20"/>
        </w:rPr>
        <w:t xml:space="preserve">We long </w:t>
      </w:r>
      <w:r w:rsidRPr="001064AB">
        <w:rPr>
          <w:sz w:val="20"/>
          <w:szCs w:val="20"/>
        </w:rPr>
        <w:t>stock</w:t>
      </w:r>
      <w:r w:rsidR="00312BEC" w:rsidRPr="001064AB">
        <w:rPr>
          <w:sz w:val="20"/>
          <w:szCs w:val="20"/>
        </w:rPr>
        <w:t xml:space="preserve"> </w:t>
      </w:r>
      <w:r w:rsidR="00C7205A">
        <w:rPr>
          <w:sz w:val="20"/>
          <w:szCs w:val="20"/>
        </w:rPr>
        <w:t xml:space="preserve">and </w:t>
      </w:r>
      <w:r w:rsidR="00312BEC" w:rsidRPr="001064AB">
        <w:rPr>
          <w:sz w:val="20"/>
          <w:szCs w:val="20"/>
        </w:rPr>
        <w:t xml:space="preserve">short </w:t>
      </w:r>
      <w:proofErr w:type="spellStart"/>
      <w:r w:rsidR="00F2102E" w:rsidRPr="001064AB">
        <w:rPr>
          <w:sz w:val="20"/>
          <w:szCs w:val="20"/>
        </w:rPr>
        <w:t>etf</w:t>
      </w:r>
      <w:proofErr w:type="spellEnd"/>
      <w:r w:rsidR="00312BEC" w:rsidRPr="001064AB">
        <w:rPr>
          <w:sz w:val="20"/>
          <w:szCs w:val="20"/>
        </w:rPr>
        <w:t xml:space="preserve"> if P(</w:t>
      </w:r>
      <w:proofErr w:type="spellStart"/>
      <w:r w:rsidR="00312BEC" w:rsidRPr="001064AB">
        <w:rPr>
          <w:sz w:val="20"/>
          <w:szCs w:val="20"/>
        </w:rPr>
        <w:t>U≤u</w:t>
      </w:r>
      <w:r w:rsidR="00312BEC" w:rsidRPr="001064AB">
        <w:rPr>
          <w:rFonts w:ascii="MS Mincho" w:eastAsia="MS Mincho" w:hAnsi="MS Mincho" w:cs="MS Mincho"/>
          <w:sz w:val="20"/>
          <w:szCs w:val="20"/>
        </w:rPr>
        <w:t>∣</w:t>
      </w:r>
      <w:r w:rsidR="00312BEC" w:rsidRPr="001064AB">
        <w:rPr>
          <w:sz w:val="20"/>
          <w:szCs w:val="20"/>
        </w:rPr>
        <w:t>V≤v</w:t>
      </w:r>
      <w:proofErr w:type="spellEnd"/>
      <w:r w:rsidR="00312BEC" w:rsidRPr="001064AB">
        <w:rPr>
          <w:sz w:val="20"/>
          <w:szCs w:val="20"/>
        </w:rPr>
        <w:t>) &lt; 0.05 a</w:t>
      </w:r>
      <w:r w:rsidR="00C7205A">
        <w:rPr>
          <w:sz w:val="20"/>
          <w:szCs w:val="20"/>
        </w:rPr>
        <w:t>nd</w:t>
      </w:r>
      <w:r w:rsidR="00312BEC" w:rsidRPr="001064AB">
        <w:rPr>
          <w:sz w:val="20"/>
          <w:szCs w:val="20"/>
        </w:rPr>
        <w:t xml:space="preserve"> P(</w:t>
      </w:r>
      <w:proofErr w:type="spellStart"/>
      <w:r w:rsidR="00312BEC" w:rsidRPr="001064AB">
        <w:rPr>
          <w:sz w:val="20"/>
          <w:szCs w:val="20"/>
        </w:rPr>
        <w:t>V≤v</w:t>
      </w:r>
      <w:r w:rsidR="00312BEC" w:rsidRPr="001064AB">
        <w:rPr>
          <w:rFonts w:ascii="MS Mincho" w:eastAsia="MS Mincho" w:hAnsi="MS Mincho" w:cs="MS Mincho"/>
          <w:sz w:val="20"/>
          <w:szCs w:val="20"/>
        </w:rPr>
        <w:t>∣</w:t>
      </w:r>
      <w:r w:rsidR="00C7205A">
        <w:rPr>
          <w:sz w:val="20"/>
          <w:szCs w:val="20"/>
        </w:rPr>
        <w:t>U≤u</w:t>
      </w:r>
      <w:proofErr w:type="spellEnd"/>
      <w:r w:rsidR="00C7205A">
        <w:rPr>
          <w:sz w:val="20"/>
          <w:szCs w:val="20"/>
        </w:rPr>
        <w:t>) &gt; 0.95. S</w:t>
      </w:r>
      <w:r w:rsidR="00312BEC" w:rsidRPr="001064AB">
        <w:rPr>
          <w:sz w:val="20"/>
          <w:szCs w:val="20"/>
        </w:rPr>
        <w:t xml:space="preserve">hort </w:t>
      </w:r>
      <w:r w:rsidR="007D766F" w:rsidRPr="001064AB">
        <w:rPr>
          <w:sz w:val="20"/>
          <w:szCs w:val="20"/>
        </w:rPr>
        <w:t xml:space="preserve">stock </w:t>
      </w:r>
      <w:r w:rsidR="00C7205A">
        <w:rPr>
          <w:sz w:val="20"/>
          <w:szCs w:val="20"/>
        </w:rPr>
        <w:t xml:space="preserve">and </w:t>
      </w:r>
      <w:r w:rsidR="00312BEC" w:rsidRPr="001064AB">
        <w:rPr>
          <w:sz w:val="20"/>
          <w:szCs w:val="20"/>
        </w:rPr>
        <w:t xml:space="preserve">long </w:t>
      </w:r>
      <w:proofErr w:type="spellStart"/>
      <w:r w:rsidR="007D766F" w:rsidRPr="001064AB">
        <w:rPr>
          <w:sz w:val="20"/>
          <w:szCs w:val="20"/>
        </w:rPr>
        <w:t>etf</w:t>
      </w:r>
      <w:proofErr w:type="spellEnd"/>
      <w:r w:rsidR="00312BEC" w:rsidRPr="001064AB">
        <w:rPr>
          <w:sz w:val="20"/>
          <w:szCs w:val="20"/>
        </w:rPr>
        <w:t xml:space="preserve"> if P(</w:t>
      </w:r>
      <w:proofErr w:type="spellStart"/>
      <w:r w:rsidR="00312BEC" w:rsidRPr="001064AB">
        <w:rPr>
          <w:sz w:val="20"/>
          <w:szCs w:val="20"/>
        </w:rPr>
        <w:t>U≤u</w:t>
      </w:r>
      <w:r w:rsidR="00312BEC" w:rsidRPr="001064AB">
        <w:rPr>
          <w:rFonts w:ascii="MS Mincho" w:eastAsia="MS Mincho" w:hAnsi="MS Mincho" w:cs="MS Mincho"/>
          <w:sz w:val="20"/>
          <w:szCs w:val="20"/>
        </w:rPr>
        <w:t>∣</w:t>
      </w:r>
      <w:r w:rsidR="00312BEC" w:rsidRPr="001064AB">
        <w:rPr>
          <w:sz w:val="20"/>
          <w:szCs w:val="20"/>
        </w:rPr>
        <w:t>V≤v</w:t>
      </w:r>
      <w:proofErr w:type="spellEnd"/>
      <w:r w:rsidR="00312BEC" w:rsidRPr="001064AB">
        <w:rPr>
          <w:sz w:val="20"/>
          <w:szCs w:val="20"/>
        </w:rPr>
        <w:t>) &gt; 0.95 and P(</w:t>
      </w:r>
      <w:proofErr w:type="spellStart"/>
      <w:r w:rsidR="00312BEC" w:rsidRPr="001064AB">
        <w:rPr>
          <w:sz w:val="20"/>
          <w:szCs w:val="20"/>
        </w:rPr>
        <w:t>V≤v</w:t>
      </w:r>
      <w:r w:rsidR="00312BEC" w:rsidRPr="001064AB">
        <w:rPr>
          <w:rFonts w:ascii="MS Mincho" w:eastAsia="MS Mincho" w:hAnsi="MS Mincho" w:cs="MS Mincho"/>
          <w:sz w:val="20"/>
          <w:szCs w:val="20"/>
        </w:rPr>
        <w:t>∣</w:t>
      </w:r>
      <w:r w:rsidR="00312BEC" w:rsidRPr="001064AB">
        <w:rPr>
          <w:sz w:val="20"/>
          <w:szCs w:val="20"/>
        </w:rPr>
        <w:t>U≤u</w:t>
      </w:r>
      <w:proofErr w:type="spellEnd"/>
      <w:r w:rsidR="00312BEC" w:rsidRPr="001064AB">
        <w:rPr>
          <w:sz w:val="20"/>
          <w:szCs w:val="20"/>
        </w:rPr>
        <w:t xml:space="preserve">) &lt; 0.05. </w:t>
      </w:r>
    </w:p>
    <w:p w14:paraId="66467494" w14:textId="77777777" w:rsidR="007D766F" w:rsidRPr="001064AB" w:rsidRDefault="007D766F" w:rsidP="00312BEC">
      <w:pPr>
        <w:rPr>
          <w:sz w:val="20"/>
          <w:szCs w:val="20"/>
        </w:rPr>
      </w:pPr>
    </w:p>
    <w:p w14:paraId="4ACEDDDD" w14:textId="51AEDAC6" w:rsidR="007D766F" w:rsidRPr="001064AB" w:rsidRDefault="007D766F" w:rsidP="00312BEC">
      <w:pPr>
        <w:rPr>
          <w:sz w:val="20"/>
          <w:szCs w:val="20"/>
        </w:rPr>
      </w:pPr>
      <w:proofErr w:type="spellStart"/>
      <w:r w:rsidRPr="001064AB">
        <w:rPr>
          <w:sz w:val="20"/>
          <w:szCs w:val="20"/>
        </w:rPr>
        <w:t>Quantile</w:t>
      </w:r>
      <w:proofErr w:type="spellEnd"/>
      <w:r w:rsidRPr="001064AB">
        <w:rPr>
          <w:sz w:val="20"/>
          <w:szCs w:val="20"/>
        </w:rPr>
        <w:t xml:space="preserve"> Portfolios:</w:t>
      </w:r>
    </w:p>
    <w:p w14:paraId="269C3520" w14:textId="3D33695C" w:rsidR="007D766F" w:rsidRDefault="007D766F" w:rsidP="00312BEC">
      <w:pPr>
        <w:rPr>
          <w:sz w:val="20"/>
          <w:szCs w:val="20"/>
        </w:rPr>
      </w:pPr>
      <w:r w:rsidRPr="001064AB">
        <w:rPr>
          <w:sz w:val="20"/>
          <w:szCs w:val="20"/>
        </w:rPr>
        <w:t xml:space="preserve">We can form a </w:t>
      </w:r>
      <w:proofErr w:type="spellStart"/>
      <w:r w:rsidRPr="001064AB">
        <w:rPr>
          <w:sz w:val="20"/>
          <w:szCs w:val="20"/>
        </w:rPr>
        <w:t>quantile</w:t>
      </w:r>
      <w:proofErr w:type="spellEnd"/>
      <w:r w:rsidRPr="001064AB">
        <w:rPr>
          <w:sz w:val="20"/>
          <w:szCs w:val="20"/>
        </w:rPr>
        <w:t xml:space="preserve"> portfolio made up of the pairs which requires a continuous signal rather than a binary long/ short signal as above. We can simply use the normalised spread for the spread approach and the difference between the two conditional probabilities for the copula approach. The signal is ranked each day and the top 70% percentile are longed and the bottom 30% percentile are shorted. </w:t>
      </w:r>
      <w:r w:rsidR="00A85C1A">
        <w:rPr>
          <w:sz w:val="20"/>
          <w:szCs w:val="20"/>
        </w:rPr>
        <w:t xml:space="preserve">Other weighting schemes </w:t>
      </w:r>
      <w:r w:rsidR="00A85C1A">
        <w:rPr>
          <w:sz w:val="20"/>
          <w:szCs w:val="20"/>
        </w:rPr>
        <w:lastRenderedPageBreak/>
        <w:t>suc</w:t>
      </w:r>
      <w:r w:rsidR="00F8220F">
        <w:rPr>
          <w:sz w:val="20"/>
          <w:szCs w:val="20"/>
        </w:rPr>
        <w:t xml:space="preserve">h as minimum-variance or </w:t>
      </w:r>
      <w:proofErr w:type="gramStart"/>
      <w:r w:rsidR="00F8220F">
        <w:rPr>
          <w:sz w:val="20"/>
          <w:szCs w:val="20"/>
        </w:rPr>
        <w:t>maximised</w:t>
      </w:r>
      <w:proofErr w:type="gramEnd"/>
      <w:r w:rsidR="00F8220F">
        <w:rPr>
          <w:sz w:val="20"/>
          <w:szCs w:val="20"/>
        </w:rPr>
        <w:t xml:space="preserve">-Sharpe can also be used. </w:t>
      </w:r>
      <w:r w:rsidR="00C7205A">
        <w:rPr>
          <w:sz w:val="20"/>
          <w:szCs w:val="20"/>
        </w:rPr>
        <w:t>Trading cost is ignored in this example, rebalancing as well, which ideally you want to incorporate in your full-</w:t>
      </w:r>
      <w:proofErr w:type="spellStart"/>
      <w:r w:rsidR="00C7205A">
        <w:rPr>
          <w:sz w:val="20"/>
          <w:szCs w:val="20"/>
        </w:rPr>
        <w:t>backtest</w:t>
      </w:r>
      <w:proofErr w:type="spellEnd"/>
      <w:r w:rsidR="00C7205A">
        <w:rPr>
          <w:sz w:val="20"/>
          <w:szCs w:val="20"/>
        </w:rPr>
        <w:t xml:space="preserve">. </w:t>
      </w:r>
    </w:p>
    <w:p w14:paraId="511E8F31" w14:textId="77777777" w:rsidR="00010625" w:rsidRDefault="00010625" w:rsidP="00312BEC">
      <w:pPr>
        <w:rPr>
          <w:sz w:val="20"/>
          <w:szCs w:val="20"/>
        </w:rPr>
      </w:pPr>
    </w:p>
    <w:p w14:paraId="1C6818CE" w14:textId="018D0AEB" w:rsidR="00010625" w:rsidRDefault="00010625" w:rsidP="00312BEC">
      <w:pPr>
        <w:rPr>
          <w:sz w:val="20"/>
          <w:szCs w:val="20"/>
        </w:rPr>
      </w:pPr>
      <w:r>
        <w:rPr>
          <w:sz w:val="20"/>
          <w:szCs w:val="20"/>
        </w:rPr>
        <w:t>Contra-trend:</w:t>
      </w:r>
    </w:p>
    <w:p w14:paraId="608C4DAF" w14:textId="3134E443" w:rsidR="00010625" w:rsidRPr="001064AB" w:rsidRDefault="00010625" w:rsidP="00312BEC">
      <w:pPr>
        <w:rPr>
          <w:sz w:val="20"/>
          <w:szCs w:val="20"/>
        </w:rPr>
      </w:pPr>
      <w:r>
        <w:rPr>
          <w:sz w:val="20"/>
          <w:szCs w:val="20"/>
        </w:rPr>
        <w:t xml:space="preserve">We can regress </w:t>
      </w:r>
      <w:r w:rsidR="00C7205A">
        <w:rPr>
          <w:sz w:val="20"/>
          <w:szCs w:val="20"/>
        </w:rPr>
        <w:t xml:space="preserve">a short e.g. </w:t>
      </w:r>
      <w:proofErr w:type="gramStart"/>
      <w:r w:rsidR="00C7205A">
        <w:rPr>
          <w:sz w:val="20"/>
          <w:szCs w:val="20"/>
        </w:rPr>
        <w:t>5 day</w:t>
      </w:r>
      <w:proofErr w:type="gramEnd"/>
      <w:r w:rsidR="00C7205A">
        <w:rPr>
          <w:sz w:val="20"/>
          <w:szCs w:val="20"/>
        </w:rPr>
        <w:t xml:space="preserve"> </w:t>
      </w:r>
      <w:r>
        <w:rPr>
          <w:sz w:val="20"/>
          <w:szCs w:val="20"/>
        </w:rPr>
        <w:t>trend line</w:t>
      </w:r>
      <w:r w:rsidR="00C7205A">
        <w:rPr>
          <w:sz w:val="20"/>
          <w:szCs w:val="20"/>
        </w:rPr>
        <w:t xml:space="preserve"> to the spread</w:t>
      </w:r>
      <w:r>
        <w:rPr>
          <w:sz w:val="20"/>
          <w:szCs w:val="20"/>
        </w:rPr>
        <w:t xml:space="preserve"> in </w:t>
      </w:r>
      <w:r w:rsidR="00C7205A">
        <w:rPr>
          <w:sz w:val="20"/>
          <w:szCs w:val="20"/>
        </w:rPr>
        <w:t xml:space="preserve">a </w:t>
      </w:r>
      <w:r>
        <w:rPr>
          <w:sz w:val="20"/>
          <w:szCs w:val="20"/>
        </w:rPr>
        <w:t>rolling basis and obtain the t-value</w:t>
      </w:r>
      <w:r w:rsidR="006F64A6">
        <w:rPr>
          <w:sz w:val="20"/>
          <w:szCs w:val="20"/>
        </w:rPr>
        <w:t xml:space="preserve"> and p-value</w:t>
      </w:r>
      <w:r>
        <w:rPr>
          <w:sz w:val="20"/>
          <w:szCs w:val="20"/>
        </w:rPr>
        <w:t xml:space="preserve"> of the coefficient. We would the</w:t>
      </w:r>
      <w:r w:rsidR="00C7205A">
        <w:rPr>
          <w:sz w:val="20"/>
          <w:szCs w:val="20"/>
        </w:rPr>
        <w:t>n</w:t>
      </w:r>
      <w:r>
        <w:rPr>
          <w:sz w:val="20"/>
          <w:szCs w:val="20"/>
        </w:rPr>
        <w:t xml:space="preserve"> enter/ exit trade when there’s a</w:t>
      </w:r>
      <w:r w:rsidR="006F64A6">
        <w:rPr>
          <w:sz w:val="20"/>
          <w:szCs w:val="20"/>
        </w:rPr>
        <w:t xml:space="preserve"> reflection of trend/ no trend. Long stock </w:t>
      </w:r>
      <w:r w:rsidR="00C7205A">
        <w:rPr>
          <w:sz w:val="20"/>
          <w:szCs w:val="20"/>
        </w:rPr>
        <w:t xml:space="preserve">and </w:t>
      </w:r>
      <w:r w:rsidR="006F64A6">
        <w:rPr>
          <w:sz w:val="20"/>
          <w:szCs w:val="20"/>
        </w:rPr>
        <w:t xml:space="preserve">short </w:t>
      </w:r>
      <w:proofErr w:type="spellStart"/>
      <w:r w:rsidR="006F64A6">
        <w:rPr>
          <w:sz w:val="20"/>
          <w:szCs w:val="20"/>
        </w:rPr>
        <w:t>etf</w:t>
      </w:r>
      <w:proofErr w:type="spellEnd"/>
      <w:r w:rsidR="006F64A6">
        <w:rPr>
          <w:sz w:val="20"/>
          <w:szCs w:val="20"/>
        </w:rPr>
        <w:t xml:space="preserve"> w</w:t>
      </w:r>
      <w:r w:rsidR="00C703F4">
        <w:rPr>
          <w:sz w:val="20"/>
          <w:szCs w:val="20"/>
        </w:rPr>
        <w:t>hen previous trend was positive. S</w:t>
      </w:r>
      <w:r w:rsidR="006F64A6">
        <w:rPr>
          <w:sz w:val="20"/>
          <w:szCs w:val="20"/>
        </w:rPr>
        <w:t xml:space="preserve">hort stock and </w:t>
      </w:r>
      <w:r w:rsidR="00C703F4">
        <w:rPr>
          <w:sz w:val="20"/>
          <w:szCs w:val="20"/>
        </w:rPr>
        <w:t xml:space="preserve">long </w:t>
      </w:r>
      <w:proofErr w:type="spellStart"/>
      <w:r w:rsidR="00C703F4">
        <w:rPr>
          <w:sz w:val="20"/>
          <w:szCs w:val="20"/>
        </w:rPr>
        <w:t>etf</w:t>
      </w:r>
      <w:proofErr w:type="spellEnd"/>
      <w:r w:rsidR="00C703F4">
        <w:rPr>
          <w:sz w:val="20"/>
          <w:szCs w:val="20"/>
        </w:rPr>
        <w:t xml:space="preserve"> when previous trend is negative. Given both entries occurred when there’s no significant trend,</w:t>
      </w:r>
      <w:r w:rsidR="00C7205A">
        <w:rPr>
          <w:sz w:val="20"/>
          <w:szCs w:val="20"/>
        </w:rPr>
        <w:t xml:space="preserve"> p-value of the current trend is &lt; 0.10. </w:t>
      </w:r>
    </w:p>
    <w:p w14:paraId="2A128419" w14:textId="1AE892C5" w:rsidR="00D14BC9" w:rsidRPr="001064AB" w:rsidRDefault="00D14BC9" w:rsidP="00312BEC">
      <w:pPr>
        <w:rPr>
          <w:sz w:val="20"/>
          <w:szCs w:val="20"/>
        </w:rPr>
      </w:pPr>
    </w:p>
    <w:p w14:paraId="2362764B" w14:textId="09428332" w:rsidR="00D14BC9" w:rsidRPr="001064AB" w:rsidRDefault="00D14BC9" w:rsidP="00312BEC">
      <w:pPr>
        <w:rPr>
          <w:sz w:val="20"/>
          <w:szCs w:val="20"/>
        </w:rPr>
      </w:pPr>
      <w:r w:rsidRPr="001064AB">
        <w:rPr>
          <w:sz w:val="20"/>
          <w:szCs w:val="20"/>
        </w:rPr>
        <w:t>XGB Portfolio:</w:t>
      </w:r>
    </w:p>
    <w:p w14:paraId="1360F277" w14:textId="32A96B16" w:rsidR="00D14BC9" w:rsidRPr="001064AB" w:rsidRDefault="00D14BC9" w:rsidP="00312BEC">
      <w:pPr>
        <w:rPr>
          <w:sz w:val="20"/>
          <w:szCs w:val="20"/>
        </w:rPr>
      </w:pPr>
      <w:r w:rsidRPr="001064AB">
        <w:rPr>
          <w:sz w:val="20"/>
          <w:szCs w:val="20"/>
        </w:rPr>
        <w:t xml:space="preserve">We can train a classifier </w:t>
      </w:r>
      <w:r w:rsidR="004743B2">
        <w:rPr>
          <w:sz w:val="20"/>
          <w:szCs w:val="20"/>
        </w:rPr>
        <w:t>to decide</w:t>
      </w:r>
      <w:r w:rsidRPr="001064AB">
        <w:rPr>
          <w:sz w:val="20"/>
          <w:szCs w:val="20"/>
        </w:rPr>
        <w:t xml:space="preserve"> which pairs to long and short. Since the trade entry and exit time varies (we enter one trade while close down the </w:t>
      </w:r>
      <w:r w:rsidR="00C7205A">
        <w:rPr>
          <w:sz w:val="20"/>
          <w:szCs w:val="20"/>
        </w:rPr>
        <w:t xml:space="preserve">exact </w:t>
      </w:r>
      <w:r w:rsidRPr="001064AB">
        <w:rPr>
          <w:sz w:val="20"/>
          <w:szCs w:val="20"/>
        </w:rPr>
        <w:t>opposite trade), we need to label the data with the forward pair-trading return from</w:t>
      </w:r>
      <w:r w:rsidR="003C0C59" w:rsidRPr="001064AB">
        <w:rPr>
          <w:sz w:val="20"/>
          <w:szCs w:val="20"/>
        </w:rPr>
        <w:t xml:space="preserve"> each </w:t>
      </w:r>
      <w:r w:rsidR="00C7205A">
        <w:rPr>
          <w:sz w:val="20"/>
          <w:szCs w:val="20"/>
        </w:rPr>
        <w:t>trading pairs</w:t>
      </w:r>
      <w:r w:rsidR="003C0C59" w:rsidRPr="001064AB">
        <w:rPr>
          <w:sz w:val="20"/>
          <w:szCs w:val="20"/>
        </w:rPr>
        <w:t xml:space="preserve"> calculated as </w:t>
      </w:r>
      <w:proofErr w:type="spellStart"/>
      <w:r w:rsidR="003C0C59" w:rsidRPr="001064AB">
        <w:rPr>
          <w:sz w:val="20"/>
          <w:szCs w:val="20"/>
        </w:rPr>
        <w:t>price_exit</w:t>
      </w:r>
      <w:proofErr w:type="spellEnd"/>
      <w:r w:rsidR="003C0C59" w:rsidRPr="001064AB">
        <w:rPr>
          <w:sz w:val="20"/>
          <w:szCs w:val="20"/>
        </w:rPr>
        <w:t>/</w:t>
      </w:r>
      <w:r w:rsidR="00C7205A">
        <w:rPr>
          <w:sz w:val="20"/>
          <w:szCs w:val="20"/>
        </w:rPr>
        <w:t xml:space="preserve"> </w:t>
      </w:r>
      <w:proofErr w:type="spellStart"/>
      <w:r w:rsidR="003C0C59" w:rsidRPr="001064AB">
        <w:rPr>
          <w:sz w:val="20"/>
          <w:szCs w:val="20"/>
        </w:rPr>
        <w:t>price_entry</w:t>
      </w:r>
      <w:proofErr w:type="spellEnd"/>
      <w:r w:rsidR="003C0C59" w:rsidRPr="001064AB">
        <w:rPr>
          <w:sz w:val="20"/>
          <w:szCs w:val="20"/>
        </w:rPr>
        <w:t xml:space="preserve"> – 1. This is done by taking </w:t>
      </w:r>
      <w:r w:rsidR="00C7205A">
        <w:rPr>
          <w:sz w:val="20"/>
          <w:szCs w:val="20"/>
        </w:rPr>
        <w:t xml:space="preserve">the </w:t>
      </w:r>
      <w:r w:rsidR="003C0C59" w:rsidRPr="001064AB">
        <w:rPr>
          <w:sz w:val="20"/>
          <w:szCs w:val="20"/>
        </w:rPr>
        <w:t>difference of the holding vector, select the ones</w:t>
      </w:r>
      <w:r w:rsidR="004743B2">
        <w:rPr>
          <w:sz w:val="20"/>
          <w:szCs w:val="20"/>
        </w:rPr>
        <w:t xml:space="preserve"> that</w:t>
      </w:r>
      <w:r w:rsidR="003C0C59" w:rsidRPr="001064AB">
        <w:rPr>
          <w:sz w:val="20"/>
          <w:szCs w:val="20"/>
        </w:rPr>
        <w:t xml:space="preserve"> aren’t </w:t>
      </w:r>
      <w:r w:rsidR="00C7205A" w:rsidRPr="001064AB">
        <w:rPr>
          <w:sz w:val="20"/>
          <w:szCs w:val="20"/>
        </w:rPr>
        <w:t>zeroes</w:t>
      </w:r>
      <w:r w:rsidR="003C0C59" w:rsidRPr="001064AB">
        <w:rPr>
          <w:sz w:val="20"/>
          <w:szCs w:val="20"/>
        </w:rPr>
        <w:t xml:space="preserve">, calculate the percentage change and backshift t -1 to obtain the forward returns. The classifier is fitted </w:t>
      </w:r>
      <w:r w:rsidR="00F0727F">
        <w:rPr>
          <w:sz w:val="20"/>
          <w:szCs w:val="20"/>
        </w:rPr>
        <w:t xml:space="preserve">to </w:t>
      </w:r>
      <w:r w:rsidR="003C0C59" w:rsidRPr="001064AB">
        <w:rPr>
          <w:sz w:val="20"/>
          <w:szCs w:val="20"/>
        </w:rPr>
        <w:t>the sign of the forward returns along with all t</w:t>
      </w:r>
      <w:r w:rsidR="00F0727F">
        <w:rPr>
          <w:sz w:val="20"/>
          <w:szCs w:val="20"/>
        </w:rPr>
        <w:t>he features we have been using. E</w:t>
      </w:r>
      <w:r w:rsidR="003C0C59" w:rsidRPr="001064AB">
        <w:rPr>
          <w:sz w:val="20"/>
          <w:szCs w:val="20"/>
        </w:rPr>
        <w:t xml:space="preserve">ach row indexed by the date and the stock ticker. </w:t>
      </w:r>
    </w:p>
    <w:p w14:paraId="04EFBD3C" w14:textId="18DA01B8" w:rsidR="003C0C59" w:rsidRDefault="001064AB" w:rsidP="00312BEC">
      <w:pPr>
        <w:rPr>
          <w:sz w:val="20"/>
          <w:szCs w:val="20"/>
        </w:rPr>
      </w:pPr>
      <w:r w:rsidRPr="001064AB">
        <w:rPr>
          <w:sz w:val="20"/>
          <w:szCs w:val="20"/>
        </w:rPr>
        <w:t>First 5 years are being used as the training set and the rest as testing. The classifier generated signal</w:t>
      </w:r>
      <w:r w:rsidR="00F0727F">
        <w:rPr>
          <w:sz w:val="20"/>
          <w:szCs w:val="20"/>
        </w:rPr>
        <w:t>s are</w:t>
      </w:r>
      <w:r w:rsidRPr="001064AB">
        <w:rPr>
          <w:sz w:val="20"/>
          <w:szCs w:val="20"/>
        </w:rPr>
        <w:t xml:space="preserve"> then equally weighted in</w:t>
      </w:r>
      <w:r w:rsidR="00C7205A">
        <w:rPr>
          <w:sz w:val="20"/>
          <w:szCs w:val="20"/>
        </w:rPr>
        <w:t xml:space="preserve"> the</w:t>
      </w:r>
      <w:r w:rsidRPr="001064AB">
        <w:rPr>
          <w:sz w:val="20"/>
          <w:szCs w:val="20"/>
        </w:rPr>
        <w:t xml:space="preserve"> long and short positions to construct </w:t>
      </w:r>
      <w:r w:rsidR="00C7205A">
        <w:rPr>
          <w:sz w:val="20"/>
          <w:szCs w:val="20"/>
        </w:rPr>
        <w:t xml:space="preserve">the final </w:t>
      </w:r>
      <w:r w:rsidRPr="001064AB">
        <w:rPr>
          <w:sz w:val="20"/>
          <w:szCs w:val="20"/>
        </w:rPr>
        <w:t xml:space="preserve">portfolio. </w:t>
      </w:r>
      <w:r w:rsidR="00C7205A">
        <w:rPr>
          <w:sz w:val="20"/>
          <w:szCs w:val="20"/>
        </w:rPr>
        <w:t xml:space="preserve"> We can also fit a XGB </w:t>
      </w:r>
      <w:proofErr w:type="spellStart"/>
      <w:r w:rsidR="00F0727F">
        <w:rPr>
          <w:sz w:val="20"/>
          <w:szCs w:val="20"/>
        </w:rPr>
        <w:t>regressor</w:t>
      </w:r>
      <w:proofErr w:type="spellEnd"/>
      <w:r w:rsidR="00C7205A">
        <w:rPr>
          <w:sz w:val="20"/>
          <w:szCs w:val="20"/>
        </w:rPr>
        <w:t xml:space="preserve"> and size our position in future development.  </w:t>
      </w:r>
    </w:p>
    <w:p w14:paraId="71D115CB" w14:textId="77777777" w:rsidR="001064AB" w:rsidRDefault="001064AB" w:rsidP="00312BEC">
      <w:pPr>
        <w:rPr>
          <w:sz w:val="20"/>
          <w:szCs w:val="20"/>
        </w:rPr>
      </w:pPr>
    </w:p>
    <w:p w14:paraId="7D3E084D" w14:textId="59F392F7" w:rsidR="001064AB" w:rsidRDefault="00915619" w:rsidP="00312BEC">
      <w:pPr>
        <w:rPr>
          <w:sz w:val="20"/>
          <w:szCs w:val="20"/>
        </w:rPr>
      </w:pPr>
      <w:proofErr w:type="spellStart"/>
      <w:r>
        <w:rPr>
          <w:sz w:val="20"/>
          <w:szCs w:val="20"/>
        </w:rPr>
        <w:t>Backtest</w:t>
      </w:r>
      <w:proofErr w:type="spellEnd"/>
      <w:r>
        <w:rPr>
          <w:sz w:val="20"/>
          <w:szCs w:val="20"/>
        </w:rPr>
        <w:t xml:space="preserve"> </w:t>
      </w:r>
      <w:r w:rsidR="001064AB">
        <w:rPr>
          <w:sz w:val="20"/>
          <w:szCs w:val="20"/>
        </w:rPr>
        <w:t>Results</w:t>
      </w:r>
      <w:r>
        <w:rPr>
          <w:sz w:val="20"/>
          <w:szCs w:val="20"/>
        </w:rPr>
        <w:t xml:space="preserve"> (2010 to 2020)</w:t>
      </w:r>
      <w:r w:rsidR="001064AB">
        <w:rPr>
          <w:sz w:val="20"/>
          <w:szCs w:val="20"/>
        </w:rPr>
        <w:t>:</w:t>
      </w:r>
    </w:p>
    <w:tbl>
      <w:tblPr>
        <w:tblStyle w:val="TableGrid"/>
        <w:tblW w:w="9071" w:type="dxa"/>
        <w:tblLook w:val="04A0" w:firstRow="1" w:lastRow="0" w:firstColumn="1" w:lastColumn="0" w:noHBand="0" w:noVBand="1"/>
      </w:tblPr>
      <w:tblGrid>
        <w:gridCol w:w="1761"/>
        <w:gridCol w:w="2018"/>
        <w:gridCol w:w="1764"/>
        <w:gridCol w:w="1764"/>
        <w:gridCol w:w="1764"/>
      </w:tblGrid>
      <w:tr w:rsidR="00915619" w14:paraId="5D83CEC6" w14:textId="77777777" w:rsidTr="00915619">
        <w:trPr>
          <w:trHeight w:val="390"/>
        </w:trPr>
        <w:tc>
          <w:tcPr>
            <w:tcW w:w="1761" w:type="dxa"/>
          </w:tcPr>
          <w:p w14:paraId="0D17DB59" w14:textId="36CC0598" w:rsidR="00915619" w:rsidRDefault="00915619" w:rsidP="00312BEC">
            <w:pPr>
              <w:rPr>
                <w:sz w:val="20"/>
                <w:szCs w:val="20"/>
              </w:rPr>
            </w:pPr>
            <w:r>
              <w:rPr>
                <w:sz w:val="20"/>
                <w:szCs w:val="20"/>
              </w:rPr>
              <w:t>Metrics\Portfolio</w:t>
            </w:r>
          </w:p>
        </w:tc>
        <w:tc>
          <w:tcPr>
            <w:tcW w:w="2018" w:type="dxa"/>
          </w:tcPr>
          <w:p w14:paraId="674695CF" w14:textId="216ADE52" w:rsidR="00915619" w:rsidRDefault="00915619" w:rsidP="00915619">
            <w:pPr>
              <w:rPr>
                <w:sz w:val="20"/>
                <w:szCs w:val="20"/>
              </w:rPr>
            </w:pPr>
            <w:r>
              <w:rPr>
                <w:sz w:val="20"/>
                <w:szCs w:val="20"/>
              </w:rPr>
              <w:t>Spread</w:t>
            </w:r>
          </w:p>
        </w:tc>
        <w:tc>
          <w:tcPr>
            <w:tcW w:w="1764" w:type="dxa"/>
          </w:tcPr>
          <w:p w14:paraId="2FB267E9" w14:textId="538B92BC" w:rsidR="00915619" w:rsidRDefault="00915619" w:rsidP="00915619">
            <w:pPr>
              <w:rPr>
                <w:sz w:val="20"/>
                <w:szCs w:val="20"/>
              </w:rPr>
            </w:pPr>
            <w:r>
              <w:rPr>
                <w:sz w:val="20"/>
                <w:szCs w:val="20"/>
              </w:rPr>
              <w:t>Copula</w:t>
            </w:r>
          </w:p>
        </w:tc>
        <w:tc>
          <w:tcPr>
            <w:tcW w:w="1764" w:type="dxa"/>
          </w:tcPr>
          <w:p w14:paraId="6A4918C7" w14:textId="50A602A3" w:rsidR="00915619" w:rsidRDefault="00915619" w:rsidP="00915619">
            <w:pPr>
              <w:rPr>
                <w:sz w:val="20"/>
                <w:szCs w:val="20"/>
              </w:rPr>
            </w:pPr>
            <w:r>
              <w:rPr>
                <w:sz w:val="20"/>
                <w:szCs w:val="20"/>
              </w:rPr>
              <w:t xml:space="preserve">Contra-Trend </w:t>
            </w:r>
          </w:p>
        </w:tc>
        <w:tc>
          <w:tcPr>
            <w:tcW w:w="1764" w:type="dxa"/>
          </w:tcPr>
          <w:p w14:paraId="19EE140C" w14:textId="79EFE2F9" w:rsidR="00915619" w:rsidRDefault="00915619" w:rsidP="00312BEC">
            <w:pPr>
              <w:rPr>
                <w:sz w:val="20"/>
                <w:szCs w:val="20"/>
              </w:rPr>
            </w:pPr>
            <w:r>
              <w:rPr>
                <w:sz w:val="20"/>
                <w:szCs w:val="20"/>
              </w:rPr>
              <w:t>XGB</w:t>
            </w:r>
            <w:r w:rsidR="007A5AC6">
              <w:rPr>
                <w:sz w:val="20"/>
                <w:szCs w:val="20"/>
              </w:rPr>
              <w:t>(Contra-Trend Targeted)</w:t>
            </w:r>
            <w:r w:rsidR="00A47F35">
              <w:rPr>
                <w:sz w:val="20"/>
                <w:szCs w:val="20"/>
              </w:rPr>
              <w:t>*</w:t>
            </w:r>
          </w:p>
        </w:tc>
      </w:tr>
      <w:tr w:rsidR="00915619" w14:paraId="3A2D1E48" w14:textId="77777777" w:rsidTr="00915619">
        <w:trPr>
          <w:trHeight w:val="521"/>
        </w:trPr>
        <w:tc>
          <w:tcPr>
            <w:tcW w:w="1761" w:type="dxa"/>
          </w:tcPr>
          <w:p w14:paraId="24A06789" w14:textId="6E18C409" w:rsidR="00915619" w:rsidRDefault="00915619" w:rsidP="00312BEC">
            <w:pPr>
              <w:rPr>
                <w:sz w:val="20"/>
                <w:szCs w:val="20"/>
              </w:rPr>
            </w:pPr>
            <w:r>
              <w:rPr>
                <w:sz w:val="20"/>
                <w:szCs w:val="20"/>
              </w:rPr>
              <w:t>Profitability(End Equity)</w:t>
            </w:r>
          </w:p>
        </w:tc>
        <w:tc>
          <w:tcPr>
            <w:tcW w:w="2018" w:type="dxa"/>
          </w:tcPr>
          <w:p w14:paraId="38B0B1EF" w14:textId="49CA1411" w:rsidR="00915619" w:rsidRDefault="00915619" w:rsidP="00312BEC">
            <w:pPr>
              <w:rPr>
                <w:sz w:val="20"/>
                <w:szCs w:val="20"/>
              </w:rPr>
            </w:pPr>
            <w:r>
              <w:rPr>
                <w:sz w:val="20"/>
                <w:szCs w:val="20"/>
              </w:rPr>
              <w:t>5.164x</w:t>
            </w:r>
          </w:p>
        </w:tc>
        <w:tc>
          <w:tcPr>
            <w:tcW w:w="1764" w:type="dxa"/>
          </w:tcPr>
          <w:p w14:paraId="25860C5D" w14:textId="0F0DE9D3" w:rsidR="00915619" w:rsidRDefault="00915619" w:rsidP="00312BEC">
            <w:pPr>
              <w:rPr>
                <w:sz w:val="20"/>
                <w:szCs w:val="20"/>
              </w:rPr>
            </w:pPr>
            <w:r>
              <w:rPr>
                <w:sz w:val="20"/>
                <w:szCs w:val="20"/>
              </w:rPr>
              <w:t>6.489x</w:t>
            </w:r>
          </w:p>
        </w:tc>
        <w:tc>
          <w:tcPr>
            <w:tcW w:w="1764" w:type="dxa"/>
          </w:tcPr>
          <w:p w14:paraId="22951B96" w14:textId="75B8A0A8" w:rsidR="00915619" w:rsidRDefault="00A85C1A" w:rsidP="00A85C1A">
            <w:pPr>
              <w:rPr>
                <w:sz w:val="20"/>
                <w:szCs w:val="20"/>
              </w:rPr>
            </w:pPr>
            <w:r>
              <w:rPr>
                <w:sz w:val="20"/>
                <w:szCs w:val="20"/>
              </w:rPr>
              <w:t>2.278</w:t>
            </w:r>
            <w:r w:rsidR="00A95E6B">
              <w:rPr>
                <w:sz w:val="20"/>
                <w:szCs w:val="20"/>
              </w:rPr>
              <w:t>x</w:t>
            </w:r>
          </w:p>
        </w:tc>
        <w:tc>
          <w:tcPr>
            <w:tcW w:w="1764" w:type="dxa"/>
          </w:tcPr>
          <w:p w14:paraId="6DA6FC62" w14:textId="171E422B" w:rsidR="00915619" w:rsidRDefault="007A5AC6" w:rsidP="00312BEC">
            <w:pPr>
              <w:rPr>
                <w:sz w:val="20"/>
                <w:szCs w:val="20"/>
              </w:rPr>
            </w:pPr>
            <w:r>
              <w:rPr>
                <w:sz w:val="20"/>
                <w:szCs w:val="20"/>
              </w:rPr>
              <w:t>0.988</w:t>
            </w:r>
          </w:p>
        </w:tc>
      </w:tr>
      <w:tr w:rsidR="00915619" w14:paraId="52D2DCB2" w14:textId="77777777" w:rsidTr="00915619">
        <w:trPr>
          <w:trHeight w:val="317"/>
        </w:trPr>
        <w:tc>
          <w:tcPr>
            <w:tcW w:w="1761" w:type="dxa"/>
          </w:tcPr>
          <w:p w14:paraId="6FEF9289" w14:textId="7BE83D30" w:rsidR="00915619" w:rsidRDefault="00915619" w:rsidP="00312BEC">
            <w:pPr>
              <w:rPr>
                <w:sz w:val="20"/>
                <w:szCs w:val="20"/>
              </w:rPr>
            </w:pPr>
            <w:r>
              <w:rPr>
                <w:sz w:val="20"/>
                <w:szCs w:val="20"/>
              </w:rPr>
              <w:t>Alpha</w:t>
            </w:r>
            <w:r w:rsidR="00A95E6B">
              <w:rPr>
                <w:sz w:val="20"/>
                <w:szCs w:val="20"/>
              </w:rPr>
              <w:t xml:space="preserve"> (daily)</w:t>
            </w:r>
          </w:p>
        </w:tc>
        <w:tc>
          <w:tcPr>
            <w:tcW w:w="2018" w:type="dxa"/>
          </w:tcPr>
          <w:p w14:paraId="54D57E91" w14:textId="3CE32850" w:rsidR="00915619" w:rsidRDefault="00915619" w:rsidP="00312BEC">
            <w:pPr>
              <w:rPr>
                <w:sz w:val="20"/>
                <w:szCs w:val="20"/>
              </w:rPr>
            </w:pPr>
            <w:r>
              <w:rPr>
                <w:sz w:val="20"/>
                <w:szCs w:val="20"/>
              </w:rPr>
              <w:t>0.0006</w:t>
            </w:r>
            <w:r w:rsidR="00A85C1A">
              <w:rPr>
                <w:sz w:val="20"/>
                <w:szCs w:val="20"/>
              </w:rPr>
              <w:t>^</w:t>
            </w:r>
          </w:p>
        </w:tc>
        <w:tc>
          <w:tcPr>
            <w:tcW w:w="1764" w:type="dxa"/>
          </w:tcPr>
          <w:p w14:paraId="133ACA27" w14:textId="0059E08D" w:rsidR="00915619" w:rsidRDefault="00A95E6B" w:rsidP="00312BEC">
            <w:pPr>
              <w:rPr>
                <w:sz w:val="20"/>
                <w:szCs w:val="20"/>
              </w:rPr>
            </w:pPr>
            <w:r>
              <w:rPr>
                <w:sz w:val="20"/>
                <w:szCs w:val="20"/>
              </w:rPr>
              <w:t>0.0007</w:t>
            </w:r>
            <w:r w:rsidR="00A85C1A">
              <w:rPr>
                <w:sz w:val="20"/>
                <w:szCs w:val="20"/>
              </w:rPr>
              <w:t>^</w:t>
            </w:r>
          </w:p>
        </w:tc>
        <w:tc>
          <w:tcPr>
            <w:tcW w:w="1764" w:type="dxa"/>
          </w:tcPr>
          <w:p w14:paraId="5169FC8E" w14:textId="67F014C6" w:rsidR="00915619" w:rsidRDefault="00A95E6B" w:rsidP="00A85C1A">
            <w:pPr>
              <w:rPr>
                <w:sz w:val="20"/>
                <w:szCs w:val="20"/>
              </w:rPr>
            </w:pPr>
            <w:r>
              <w:rPr>
                <w:sz w:val="20"/>
                <w:szCs w:val="20"/>
              </w:rPr>
              <w:t>0.000</w:t>
            </w:r>
            <w:r w:rsidR="00A85C1A">
              <w:rPr>
                <w:sz w:val="20"/>
                <w:szCs w:val="20"/>
              </w:rPr>
              <w:t>3^</w:t>
            </w:r>
          </w:p>
        </w:tc>
        <w:tc>
          <w:tcPr>
            <w:tcW w:w="1764" w:type="dxa"/>
          </w:tcPr>
          <w:p w14:paraId="1D6550A0" w14:textId="200BC54D" w:rsidR="00915619" w:rsidRDefault="007A5AC6" w:rsidP="00312BEC">
            <w:pPr>
              <w:rPr>
                <w:sz w:val="20"/>
                <w:szCs w:val="20"/>
              </w:rPr>
            </w:pPr>
            <w:r>
              <w:rPr>
                <w:sz w:val="20"/>
                <w:szCs w:val="20"/>
              </w:rPr>
              <w:t>-0.0000</w:t>
            </w:r>
          </w:p>
        </w:tc>
      </w:tr>
      <w:tr w:rsidR="00915619" w14:paraId="39F33ECC" w14:textId="77777777" w:rsidTr="00915619">
        <w:trPr>
          <w:trHeight w:val="317"/>
        </w:trPr>
        <w:tc>
          <w:tcPr>
            <w:tcW w:w="1761" w:type="dxa"/>
          </w:tcPr>
          <w:p w14:paraId="0552A6AA" w14:textId="17805D44" w:rsidR="00915619" w:rsidRDefault="00915619" w:rsidP="00312BEC">
            <w:pPr>
              <w:rPr>
                <w:sz w:val="20"/>
                <w:szCs w:val="20"/>
              </w:rPr>
            </w:pPr>
            <w:r>
              <w:rPr>
                <w:sz w:val="20"/>
                <w:szCs w:val="20"/>
              </w:rPr>
              <w:t>Beta</w:t>
            </w:r>
            <w:r w:rsidR="00A95E6B">
              <w:rPr>
                <w:sz w:val="20"/>
                <w:szCs w:val="20"/>
              </w:rPr>
              <w:t xml:space="preserve"> (daily)</w:t>
            </w:r>
          </w:p>
        </w:tc>
        <w:tc>
          <w:tcPr>
            <w:tcW w:w="2018" w:type="dxa"/>
          </w:tcPr>
          <w:p w14:paraId="4ED06EDF" w14:textId="718E6074" w:rsidR="00915619" w:rsidRDefault="00915619" w:rsidP="00312BEC">
            <w:pPr>
              <w:rPr>
                <w:sz w:val="20"/>
                <w:szCs w:val="20"/>
              </w:rPr>
            </w:pPr>
            <w:r>
              <w:rPr>
                <w:sz w:val="20"/>
                <w:szCs w:val="20"/>
              </w:rPr>
              <w:t>0.063</w:t>
            </w:r>
            <w:r w:rsidR="00A95E6B">
              <w:rPr>
                <w:sz w:val="20"/>
                <w:szCs w:val="20"/>
              </w:rPr>
              <w:t>0</w:t>
            </w:r>
            <w:r w:rsidR="00A85C1A">
              <w:rPr>
                <w:sz w:val="20"/>
                <w:szCs w:val="20"/>
              </w:rPr>
              <w:t>^</w:t>
            </w:r>
          </w:p>
        </w:tc>
        <w:tc>
          <w:tcPr>
            <w:tcW w:w="1764" w:type="dxa"/>
          </w:tcPr>
          <w:p w14:paraId="2D3A33CF" w14:textId="130834ED" w:rsidR="00915619" w:rsidRDefault="00A95E6B" w:rsidP="00312BEC">
            <w:pPr>
              <w:rPr>
                <w:sz w:val="20"/>
                <w:szCs w:val="20"/>
              </w:rPr>
            </w:pPr>
            <w:r>
              <w:rPr>
                <w:sz w:val="20"/>
                <w:szCs w:val="20"/>
              </w:rPr>
              <w:t>0.0591</w:t>
            </w:r>
            <w:r w:rsidR="00A85C1A">
              <w:rPr>
                <w:sz w:val="20"/>
                <w:szCs w:val="20"/>
              </w:rPr>
              <w:t>^</w:t>
            </w:r>
          </w:p>
        </w:tc>
        <w:tc>
          <w:tcPr>
            <w:tcW w:w="1764" w:type="dxa"/>
          </w:tcPr>
          <w:p w14:paraId="2CE25B06" w14:textId="27B91EFC" w:rsidR="00915619" w:rsidRDefault="00A85C1A" w:rsidP="00312BEC">
            <w:pPr>
              <w:rPr>
                <w:sz w:val="20"/>
                <w:szCs w:val="20"/>
              </w:rPr>
            </w:pPr>
            <w:r>
              <w:rPr>
                <w:sz w:val="20"/>
                <w:szCs w:val="20"/>
              </w:rPr>
              <w:t>0.0113</w:t>
            </w:r>
          </w:p>
        </w:tc>
        <w:tc>
          <w:tcPr>
            <w:tcW w:w="1764" w:type="dxa"/>
          </w:tcPr>
          <w:p w14:paraId="02CAD252" w14:textId="64146DBF" w:rsidR="00915619" w:rsidRDefault="007A5AC6" w:rsidP="00312BEC">
            <w:pPr>
              <w:rPr>
                <w:sz w:val="20"/>
                <w:szCs w:val="20"/>
              </w:rPr>
            </w:pPr>
            <w:r>
              <w:rPr>
                <w:sz w:val="20"/>
                <w:szCs w:val="20"/>
              </w:rPr>
              <w:t>-0.0004</w:t>
            </w:r>
          </w:p>
        </w:tc>
      </w:tr>
      <w:tr w:rsidR="00915619" w14:paraId="618AFD47" w14:textId="77777777" w:rsidTr="00915619">
        <w:trPr>
          <w:trHeight w:val="317"/>
        </w:trPr>
        <w:tc>
          <w:tcPr>
            <w:tcW w:w="1761" w:type="dxa"/>
          </w:tcPr>
          <w:p w14:paraId="5389B2B7" w14:textId="61F65472" w:rsidR="00915619" w:rsidRDefault="007A5AC6" w:rsidP="00312BEC">
            <w:pPr>
              <w:rPr>
                <w:sz w:val="20"/>
                <w:szCs w:val="20"/>
              </w:rPr>
            </w:pPr>
            <w:r>
              <w:rPr>
                <w:sz w:val="20"/>
                <w:szCs w:val="20"/>
              </w:rPr>
              <w:t>Volatility</w:t>
            </w:r>
            <w:r w:rsidR="00A95E6B">
              <w:rPr>
                <w:sz w:val="20"/>
                <w:szCs w:val="20"/>
              </w:rPr>
              <w:t xml:space="preserve"> (daily)</w:t>
            </w:r>
          </w:p>
        </w:tc>
        <w:tc>
          <w:tcPr>
            <w:tcW w:w="2018" w:type="dxa"/>
          </w:tcPr>
          <w:p w14:paraId="6499E9F3" w14:textId="3072BD24" w:rsidR="00915619" w:rsidRDefault="00A95E6B" w:rsidP="00312BEC">
            <w:pPr>
              <w:rPr>
                <w:sz w:val="20"/>
                <w:szCs w:val="20"/>
              </w:rPr>
            </w:pPr>
            <w:r>
              <w:rPr>
                <w:sz w:val="20"/>
                <w:szCs w:val="20"/>
              </w:rPr>
              <w:t>0.0100</w:t>
            </w:r>
          </w:p>
        </w:tc>
        <w:tc>
          <w:tcPr>
            <w:tcW w:w="1764" w:type="dxa"/>
          </w:tcPr>
          <w:p w14:paraId="7FB0F673" w14:textId="4F8E5BAD" w:rsidR="00915619" w:rsidRDefault="00A95E6B" w:rsidP="00312BEC">
            <w:pPr>
              <w:rPr>
                <w:sz w:val="20"/>
                <w:szCs w:val="20"/>
              </w:rPr>
            </w:pPr>
            <w:r>
              <w:rPr>
                <w:sz w:val="20"/>
                <w:szCs w:val="20"/>
              </w:rPr>
              <w:t>0.0085</w:t>
            </w:r>
          </w:p>
        </w:tc>
        <w:tc>
          <w:tcPr>
            <w:tcW w:w="1764" w:type="dxa"/>
          </w:tcPr>
          <w:p w14:paraId="42EB9E8D" w14:textId="3CFAC242" w:rsidR="00915619" w:rsidRDefault="00A95E6B" w:rsidP="00312BEC">
            <w:pPr>
              <w:rPr>
                <w:sz w:val="20"/>
                <w:szCs w:val="20"/>
              </w:rPr>
            </w:pPr>
            <w:r>
              <w:rPr>
                <w:sz w:val="20"/>
                <w:szCs w:val="20"/>
              </w:rPr>
              <w:t>0.008</w:t>
            </w:r>
            <w:r w:rsidR="00A85C1A">
              <w:rPr>
                <w:sz w:val="20"/>
                <w:szCs w:val="20"/>
              </w:rPr>
              <w:t>9</w:t>
            </w:r>
          </w:p>
        </w:tc>
        <w:tc>
          <w:tcPr>
            <w:tcW w:w="1764" w:type="dxa"/>
          </w:tcPr>
          <w:p w14:paraId="642E5BF7" w14:textId="421287A2" w:rsidR="00915619" w:rsidRDefault="007A5AC6" w:rsidP="00312BEC">
            <w:pPr>
              <w:rPr>
                <w:sz w:val="20"/>
                <w:szCs w:val="20"/>
              </w:rPr>
            </w:pPr>
            <w:r>
              <w:rPr>
                <w:sz w:val="20"/>
                <w:szCs w:val="20"/>
              </w:rPr>
              <w:t>0.0009</w:t>
            </w:r>
          </w:p>
        </w:tc>
      </w:tr>
      <w:tr w:rsidR="00915619" w14:paraId="066A136C" w14:textId="77777777" w:rsidTr="00915619">
        <w:trPr>
          <w:trHeight w:val="317"/>
        </w:trPr>
        <w:tc>
          <w:tcPr>
            <w:tcW w:w="1761" w:type="dxa"/>
          </w:tcPr>
          <w:p w14:paraId="098DE4C4" w14:textId="46618080" w:rsidR="00915619" w:rsidRDefault="00915619" w:rsidP="00312BEC">
            <w:pPr>
              <w:rPr>
                <w:sz w:val="20"/>
                <w:szCs w:val="20"/>
              </w:rPr>
            </w:pPr>
            <w:r>
              <w:rPr>
                <w:sz w:val="20"/>
                <w:szCs w:val="20"/>
              </w:rPr>
              <w:t>Max Drawdown</w:t>
            </w:r>
          </w:p>
        </w:tc>
        <w:tc>
          <w:tcPr>
            <w:tcW w:w="2018" w:type="dxa"/>
          </w:tcPr>
          <w:p w14:paraId="238DF8E3" w14:textId="69AC5CFB" w:rsidR="00915619" w:rsidRDefault="00A95E6B" w:rsidP="00312BEC">
            <w:pPr>
              <w:rPr>
                <w:sz w:val="20"/>
                <w:szCs w:val="20"/>
              </w:rPr>
            </w:pPr>
            <w:r>
              <w:rPr>
                <w:sz w:val="20"/>
                <w:szCs w:val="20"/>
              </w:rPr>
              <w:t>-0.15</w:t>
            </w:r>
          </w:p>
        </w:tc>
        <w:tc>
          <w:tcPr>
            <w:tcW w:w="1764" w:type="dxa"/>
          </w:tcPr>
          <w:p w14:paraId="1891F376" w14:textId="3CCEEDE9" w:rsidR="00915619" w:rsidRDefault="00A95E6B" w:rsidP="00312BEC">
            <w:pPr>
              <w:rPr>
                <w:sz w:val="20"/>
                <w:szCs w:val="20"/>
              </w:rPr>
            </w:pPr>
            <w:r>
              <w:rPr>
                <w:sz w:val="20"/>
                <w:szCs w:val="20"/>
              </w:rPr>
              <w:t>-0.17</w:t>
            </w:r>
          </w:p>
        </w:tc>
        <w:tc>
          <w:tcPr>
            <w:tcW w:w="1764" w:type="dxa"/>
          </w:tcPr>
          <w:p w14:paraId="3235A4EC" w14:textId="3AAAD931" w:rsidR="00915619" w:rsidRDefault="00A95E6B" w:rsidP="00A95E6B">
            <w:pPr>
              <w:rPr>
                <w:sz w:val="20"/>
                <w:szCs w:val="20"/>
              </w:rPr>
            </w:pPr>
            <w:r>
              <w:rPr>
                <w:sz w:val="20"/>
                <w:szCs w:val="20"/>
              </w:rPr>
              <w:t>-0.</w:t>
            </w:r>
            <w:r w:rsidR="00A85C1A">
              <w:rPr>
                <w:sz w:val="20"/>
                <w:szCs w:val="20"/>
              </w:rPr>
              <w:t>19</w:t>
            </w:r>
          </w:p>
        </w:tc>
        <w:tc>
          <w:tcPr>
            <w:tcW w:w="1764" w:type="dxa"/>
          </w:tcPr>
          <w:p w14:paraId="4F04CE45" w14:textId="5BEA331B" w:rsidR="00915619" w:rsidRDefault="007A5AC6" w:rsidP="00312BEC">
            <w:pPr>
              <w:rPr>
                <w:sz w:val="20"/>
                <w:szCs w:val="20"/>
              </w:rPr>
            </w:pPr>
            <w:r>
              <w:rPr>
                <w:sz w:val="20"/>
                <w:szCs w:val="20"/>
              </w:rPr>
              <w:t>-0.024</w:t>
            </w:r>
          </w:p>
        </w:tc>
      </w:tr>
      <w:tr w:rsidR="00915619" w14:paraId="7CBC56DD" w14:textId="77777777" w:rsidTr="007A5AC6">
        <w:trPr>
          <w:trHeight w:val="464"/>
        </w:trPr>
        <w:tc>
          <w:tcPr>
            <w:tcW w:w="1761" w:type="dxa"/>
          </w:tcPr>
          <w:p w14:paraId="32DB8EB3" w14:textId="4225E6B4" w:rsidR="00915619" w:rsidRDefault="00A85C1A" w:rsidP="00312BEC">
            <w:pPr>
              <w:rPr>
                <w:sz w:val="20"/>
                <w:szCs w:val="20"/>
              </w:rPr>
            </w:pPr>
            <w:r>
              <w:rPr>
                <w:sz w:val="20"/>
                <w:szCs w:val="20"/>
              </w:rPr>
              <w:t>Avg.</w:t>
            </w:r>
            <w:r w:rsidR="00915619">
              <w:rPr>
                <w:sz w:val="20"/>
                <w:szCs w:val="20"/>
              </w:rPr>
              <w:t xml:space="preserve"> Information Ratio</w:t>
            </w:r>
            <w:r>
              <w:rPr>
                <w:sz w:val="20"/>
                <w:szCs w:val="20"/>
              </w:rPr>
              <w:t xml:space="preserve"> (Annualised)</w:t>
            </w:r>
          </w:p>
        </w:tc>
        <w:tc>
          <w:tcPr>
            <w:tcW w:w="2018" w:type="dxa"/>
          </w:tcPr>
          <w:p w14:paraId="2BFE2499" w14:textId="47A6EBAE" w:rsidR="00915619" w:rsidRDefault="00A95E6B" w:rsidP="00312BEC">
            <w:pPr>
              <w:rPr>
                <w:sz w:val="20"/>
                <w:szCs w:val="20"/>
              </w:rPr>
            </w:pPr>
            <w:r>
              <w:rPr>
                <w:sz w:val="20"/>
                <w:szCs w:val="20"/>
              </w:rPr>
              <w:t>0.254</w:t>
            </w:r>
          </w:p>
        </w:tc>
        <w:tc>
          <w:tcPr>
            <w:tcW w:w="1764" w:type="dxa"/>
          </w:tcPr>
          <w:p w14:paraId="4FCEC491" w14:textId="6989E9B2" w:rsidR="00915619" w:rsidRDefault="00A95E6B" w:rsidP="00312BEC">
            <w:pPr>
              <w:rPr>
                <w:sz w:val="20"/>
                <w:szCs w:val="20"/>
              </w:rPr>
            </w:pPr>
            <w:r>
              <w:rPr>
                <w:sz w:val="20"/>
                <w:szCs w:val="20"/>
              </w:rPr>
              <w:t>0.530</w:t>
            </w:r>
          </w:p>
        </w:tc>
        <w:tc>
          <w:tcPr>
            <w:tcW w:w="1764" w:type="dxa"/>
          </w:tcPr>
          <w:p w14:paraId="4A57D75A" w14:textId="08404898" w:rsidR="00915619" w:rsidRDefault="00A95E6B" w:rsidP="00A85C1A">
            <w:pPr>
              <w:rPr>
                <w:sz w:val="20"/>
                <w:szCs w:val="20"/>
              </w:rPr>
            </w:pPr>
            <w:r>
              <w:rPr>
                <w:sz w:val="20"/>
                <w:szCs w:val="20"/>
              </w:rPr>
              <w:t>-</w:t>
            </w:r>
            <w:r w:rsidR="00A85C1A">
              <w:rPr>
                <w:sz w:val="20"/>
                <w:szCs w:val="20"/>
              </w:rPr>
              <w:t>1.18</w:t>
            </w:r>
          </w:p>
        </w:tc>
        <w:tc>
          <w:tcPr>
            <w:tcW w:w="1764" w:type="dxa"/>
          </w:tcPr>
          <w:p w14:paraId="26ED6805" w14:textId="147FA8DF" w:rsidR="00915619" w:rsidRDefault="007A5AC6" w:rsidP="00312BEC">
            <w:pPr>
              <w:rPr>
                <w:sz w:val="20"/>
                <w:szCs w:val="20"/>
              </w:rPr>
            </w:pPr>
            <w:r>
              <w:rPr>
                <w:sz w:val="20"/>
                <w:szCs w:val="20"/>
              </w:rPr>
              <w:t>-50</w:t>
            </w:r>
            <w:r w:rsidR="00A85C1A">
              <w:rPr>
                <w:sz w:val="20"/>
                <w:szCs w:val="20"/>
              </w:rPr>
              <w:t>.11</w:t>
            </w:r>
            <w:r>
              <w:rPr>
                <w:sz w:val="20"/>
                <w:szCs w:val="20"/>
              </w:rPr>
              <w:t>**</w:t>
            </w:r>
          </w:p>
        </w:tc>
      </w:tr>
    </w:tbl>
    <w:p w14:paraId="60314150" w14:textId="77777777" w:rsidR="007A5AC6" w:rsidRDefault="007A5AC6" w:rsidP="00312BEC">
      <w:pPr>
        <w:rPr>
          <w:sz w:val="20"/>
          <w:szCs w:val="20"/>
        </w:rPr>
      </w:pPr>
    </w:p>
    <w:p w14:paraId="02E3705C" w14:textId="370399C0" w:rsidR="00A47F35" w:rsidRDefault="00A47F35" w:rsidP="00312BEC">
      <w:pPr>
        <w:rPr>
          <w:sz w:val="20"/>
          <w:szCs w:val="20"/>
        </w:rPr>
      </w:pPr>
      <w:r>
        <w:rPr>
          <w:sz w:val="20"/>
          <w:szCs w:val="20"/>
        </w:rPr>
        <w:t xml:space="preserve">* only 2015 to 2020 period is </w:t>
      </w:r>
      <w:proofErr w:type="spellStart"/>
      <w:r>
        <w:rPr>
          <w:sz w:val="20"/>
          <w:szCs w:val="20"/>
        </w:rPr>
        <w:t>backtested</w:t>
      </w:r>
      <w:proofErr w:type="spellEnd"/>
      <w:r>
        <w:rPr>
          <w:sz w:val="20"/>
          <w:szCs w:val="20"/>
        </w:rPr>
        <w:t>.</w:t>
      </w:r>
    </w:p>
    <w:p w14:paraId="74983188" w14:textId="412C6BD2" w:rsidR="001064AB" w:rsidRDefault="007A5AC6" w:rsidP="00312BEC">
      <w:pPr>
        <w:rPr>
          <w:sz w:val="20"/>
          <w:szCs w:val="20"/>
        </w:rPr>
      </w:pPr>
      <w:r>
        <w:rPr>
          <w:sz w:val="20"/>
          <w:szCs w:val="20"/>
        </w:rPr>
        <w:t>**extremely inflated due to low level of trading</w:t>
      </w:r>
    </w:p>
    <w:p w14:paraId="0EBCE75F" w14:textId="5C3C6871" w:rsidR="00A85C1A" w:rsidRDefault="00A85C1A" w:rsidP="00312BEC">
      <w:pPr>
        <w:rPr>
          <w:sz w:val="20"/>
          <w:szCs w:val="20"/>
        </w:rPr>
      </w:pPr>
      <w:r>
        <w:rPr>
          <w:sz w:val="20"/>
          <w:szCs w:val="20"/>
        </w:rPr>
        <w:t>^ statistically significant at 95% CI</w:t>
      </w:r>
    </w:p>
    <w:p w14:paraId="0DB1374E" w14:textId="77777777" w:rsidR="001064AB" w:rsidRDefault="001064AB" w:rsidP="00312BEC">
      <w:pPr>
        <w:rPr>
          <w:sz w:val="20"/>
          <w:szCs w:val="20"/>
        </w:rPr>
      </w:pPr>
    </w:p>
    <w:p w14:paraId="781BA50A" w14:textId="44943BCD" w:rsidR="007A5AC6" w:rsidRDefault="007A5AC6" w:rsidP="00312BEC">
      <w:pPr>
        <w:rPr>
          <w:sz w:val="20"/>
          <w:szCs w:val="20"/>
        </w:rPr>
      </w:pPr>
      <w:r>
        <w:rPr>
          <w:sz w:val="20"/>
          <w:szCs w:val="20"/>
        </w:rPr>
        <w:t xml:space="preserve">We </w:t>
      </w:r>
      <w:r w:rsidR="00A47F35">
        <w:rPr>
          <w:sz w:val="20"/>
          <w:szCs w:val="20"/>
        </w:rPr>
        <w:t>can see the</w:t>
      </w:r>
      <w:r>
        <w:rPr>
          <w:sz w:val="20"/>
          <w:szCs w:val="20"/>
        </w:rPr>
        <w:t xml:space="preserve"> traditional approaches still significantly outperform contra-trend or </w:t>
      </w:r>
      <w:proofErr w:type="spellStart"/>
      <w:r>
        <w:rPr>
          <w:sz w:val="20"/>
          <w:szCs w:val="20"/>
        </w:rPr>
        <w:t>xgb</w:t>
      </w:r>
      <w:proofErr w:type="spellEnd"/>
      <w:r>
        <w:rPr>
          <w:sz w:val="20"/>
          <w:szCs w:val="20"/>
        </w:rPr>
        <w:t xml:space="preserve">-portfolio. </w:t>
      </w:r>
      <w:r w:rsidR="00C7205A">
        <w:rPr>
          <w:sz w:val="20"/>
          <w:szCs w:val="20"/>
        </w:rPr>
        <w:t xml:space="preserve">But it’s too few data point to draw conclusion if XGB improves existing strategies. </w:t>
      </w:r>
      <w:r w:rsidR="00801FD5">
        <w:rPr>
          <w:sz w:val="20"/>
          <w:szCs w:val="20"/>
        </w:rPr>
        <w:t xml:space="preserve">We also XGB model weights the conditional </w:t>
      </w:r>
      <w:proofErr w:type="spellStart"/>
      <w:r w:rsidR="00801FD5">
        <w:rPr>
          <w:sz w:val="20"/>
          <w:szCs w:val="20"/>
        </w:rPr>
        <w:t>prob</w:t>
      </w:r>
      <w:proofErr w:type="spellEnd"/>
      <w:r w:rsidR="00801FD5">
        <w:rPr>
          <w:sz w:val="20"/>
          <w:szCs w:val="20"/>
        </w:rPr>
        <w:t xml:space="preserve"> and trend statistics the highest in terms of feature importance. </w:t>
      </w:r>
    </w:p>
    <w:p w14:paraId="5CA374B9" w14:textId="77777777" w:rsidR="007A5AC6" w:rsidRDefault="007A5AC6" w:rsidP="00312BEC">
      <w:pPr>
        <w:rPr>
          <w:sz w:val="20"/>
          <w:szCs w:val="20"/>
        </w:rPr>
      </w:pPr>
    </w:p>
    <w:p w14:paraId="05C1D52C" w14:textId="77777777" w:rsidR="007A5AC6" w:rsidRDefault="007A5AC6" w:rsidP="00312BEC">
      <w:pPr>
        <w:rPr>
          <w:sz w:val="20"/>
          <w:szCs w:val="20"/>
        </w:rPr>
      </w:pPr>
    </w:p>
    <w:p w14:paraId="62A3596A" w14:textId="5200BD3B" w:rsidR="001064AB" w:rsidRDefault="001064AB" w:rsidP="00312BEC">
      <w:pPr>
        <w:rPr>
          <w:sz w:val="20"/>
          <w:szCs w:val="20"/>
        </w:rPr>
      </w:pPr>
      <w:r>
        <w:rPr>
          <w:sz w:val="20"/>
          <w:szCs w:val="20"/>
        </w:rPr>
        <w:t>Discussion</w:t>
      </w:r>
      <w:r w:rsidR="00A47F35">
        <w:rPr>
          <w:sz w:val="20"/>
          <w:szCs w:val="20"/>
        </w:rPr>
        <w:t>s and Potential Improvement</w:t>
      </w:r>
      <w:r>
        <w:rPr>
          <w:sz w:val="20"/>
          <w:szCs w:val="20"/>
        </w:rPr>
        <w:t>:</w:t>
      </w:r>
    </w:p>
    <w:p w14:paraId="2FAA2C8C" w14:textId="177A2AC3" w:rsidR="001064AB" w:rsidRDefault="001064AB" w:rsidP="001064AB">
      <w:pPr>
        <w:pStyle w:val="ListParagraph"/>
        <w:numPr>
          <w:ilvl w:val="0"/>
          <w:numId w:val="2"/>
        </w:numPr>
        <w:rPr>
          <w:sz w:val="20"/>
          <w:szCs w:val="20"/>
        </w:rPr>
      </w:pPr>
      <w:r>
        <w:rPr>
          <w:sz w:val="20"/>
          <w:szCs w:val="20"/>
        </w:rPr>
        <w:t xml:space="preserve">Long/ short by hedge ratio, as stock and </w:t>
      </w:r>
      <w:proofErr w:type="spellStart"/>
      <w:r>
        <w:rPr>
          <w:sz w:val="20"/>
          <w:szCs w:val="20"/>
        </w:rPr>
        <w:t>etf</w:t>
      </w:r>
      <w:proofErr w:type="spellEnd"/>
      <w:r>
        <w:rPr>
          <w:sz w:val="20"/>
          <w:szCs w:val="20"/>
        </w:rPr>
        <w:t xml:space="preserve"> pairs trading returns are not 1 to 1 relationship</w:t>
      </w:r>
    </w:p>
    <w:p w14:paraId="72613D50" w14:textId="0251F18D" w:rsidR="001064AB" w:rsidRDefault="001064AB" w:rsidP="001064AB">
      <w:pPr>
        <w:pStyle w:val="ListParagraph"/>
        <w:numPr>
          <w:ilvl w:val="0"/>
          <w:numId w:val="2"/>
        </w:numPr>
        <w:rPr>
          <w:sz w:val="20"/>
          <w:szCs w:val="20"/>
        </w:rPr>
      </w:pPr>
      <w:r>
        <w:rPr>
          <w:sz w:val="20"/>
          <w:szCs w:val="20"/>
        </w:rPr>
        <w:t>Bet-size should be gauged by the likelihood of mean-</w:t>
      </w:r>
      <w:proofErr w:type="gramStart"/>
      <w:r>
        <w:rPr>
          <w:sz w:val="20"/>
          <w:szCs w:val="20"/>
        </w:rPr>
        <w:t>reversion</w:t>
      </w:r>
      <w:r w:rsidR="00A47F35">
        <w:rPr>
          <w:sz w:val="20"/>
          <w:szCs w:val="20"/>
        </w:rPr>
        <w:t>(</w:t>
      </w:r>
      <w:proofErr w:type="gramEnd"/>
      <w:r w:rsidR="00A47F35">
        <w:rPr>
          <w:sz w:val="20"/>
          <w:szCs w:val="20"/>
        </w:rPr>
        <w:t>e.g. ½ Kelly)</w:t>
      </w:r>
      <w:r>
        <w:rPr>
          <w:sz w:val="20"/>
          <w:szCs w:val="20"/>
        </w:rPr>
        <w:t>, can be determined by the speed or momentum of the process</w:t>
      </w:r>
    </w:p>
    <w:p w14:paraId="1D39B0A4" w14:textId="77777777" w:rsidR="00F8220F" w:rsidRDefault="00C703F4" w:rsidP="00F8220F">
      <w:pPr>
        <w:pStyle w:val="ListParagraph"/>
        <w:numPr>
          <w:ilvl w:val="0"/>
          <w:numId w:val="2"/>
        </w:numPr>
        <w:rPr>
          <w:sz w:val="20"/>
          <w:szCs w:val="20"/>
        </w:rPr>
      </w:pPr>
      <w:r>
        <w:rPr>
          <w:sz w:val="20"/>
          <w:szCs w:val="20"/>
        </w:rPr>
        <w:t>More stocks/</w:t>
      </w:r>
      <w:proofErr w:type="spellStart"/>
      <w:r>
        <w:rPr>
          <w:sz w:val="20"/>
          <w:szCs w:val="20"/>
        </w:rPr>
        <w:t>etfs</w:t>
      </w:r>
      <w:proofErr w:type="spellEnd"/>
      <w:r>
        <w:rPr>
          <w:sz w:val="20"/>
          <w:szCs w:val="20"/>
        </w:rPr>
        <w:t xml:space="preserve"> pairs to improve </w:t>
      </w:r>
      <w:proofErr w:type="spellStart"/>
      <w:r>
        <w:rPr>
          <w:sz w:val="20"/>
          <w:szCs w:val="20"/>
        </w:rPr>
        <w:t>xgb</w:t>
      </w:r>
      <w:proofErr w:type="spellEnd"/>
      <w:r>
        <w:rPr>
          <w:sz w:val="20"/>
          <w:szCs w:val="20"/>
        </w:rPr>
        <w:t xml:space="preserve"> trade selection training. The model would need more</w:t>
      </w:r>
      <w:r w:rsidR="00A47F35">
        <w:rPr>
          <w:sz w:val="20"/>
          <w:szCs w:val="20"/>
        </w:rPr>
        <w:t xml:space="preserve"> trade example in training set</w:t>
      </w:r>
      <w:r>
        <w:rPr>
          <w:sz w:val="20"/>
          <w:szCs w:val="20"/>
        </w:rPr>
        <w:t xml:space="preserve"> to determine entry and exit timing</w:t>
      </w:r>
    </w:p>
    <w:p w14:paraId="6144C5D7" w14:textId="493A375A" w:rsidR="00C703F4" w:rsidRPr="00F8220F" w:rsidRDefault="00C703F4" w:rsidP="00F8220F">
      <w:pPr>
        <w:pStyle w:val="ListParagraph"/>
        <w:numPr>
          <w:ilvl w:val="0"/>
          <w:numId w:val="2"/>
        </w:numPr>
        <w:rPr>
          <w:sz w:val="20"/>
          <w:szCs w:val="20"/>
        </w:rPr>
      </w:pPr>
      <w:r w:rsidRPr="00F8220F">
        <w:rPr>
          <w:sz w:val="20"/>
          <w:szCs w:val="20"/>
        </w:rPr>
        <w:t xml:space="preserve">More sector </w:t>
      </w:r>
      <w:proofErr w:type="spellStart"/>
      <w:r w:rsidRPr="00F8220F">
        <w:rPr>
          <w:sz w:val="20"/>
          <w:szCs w:val="20"/>
        </w:rPr>
        <w:t>etfs</w:t>
      </w:r>
      <w:proofErr w:type="spellEnd"/>
      <w:r w:rsidRPr="00F8220F">
        <w:rPr>
          <w:sz w:val="20"/>
          <w:szCs w:val="20"/>
        </w:rPr>
        <w:t xml:space="preserve"> to diversify the portfolio.</w:t>
      </w:r>
    </w:p>
    <w:sectPr w:rsidR="00C703F4" w:rsidRPr="00F8220F" w:rsidSect="00D55E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86F09"/>
    <w:multiLevelType w:val="hybridMultilevel"/>
    <w:tmpl w:val="829AB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7E6863"/>
    <w:multiLevelType w:val="hybridMultilevel"/>
    <w:tmpl w:val="E27A1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FA"/>
    <w:rsid w:val="00010625"/>
    <w:rsid w:val="001064AB"/>
    <w:rsid w:val="00253893"/>
    <w:rsid w:val="00254BFA"/>
    <w:rsid w:val="002D1737"/>
    <w:rsid w:val="002D48C2"/>
    <w:rsid w:val="00312BEC"/>
    <w:rsid w:val="003C0C59"/>
    <w:rsid w:val="004743B2"/>
    <w:rsid w:val="006F64A6"/>
    <w:rsid w:val="007A5AC6"/>
    <w:rsid w:val="007D766F"/>
    <w:rsid w:val="00801FD5"/>
    <w:rsid w:val="008E4BF1"/>
    <w:rsid w:val="00915619"/>
    <w:rsid w:val="009A7AF4"/>
    <w:rsid w:val="009C2A15"/>
    <w:rsid w:val="00A47F35"/>
    <w:rsid w:val="00A85C1A"/>
    <w:rsid w:val="00A86E9C"/>
    <w:rsid w:val="00A95E6B"/>
    <w:rsid w:val="00BE1EDB"/>
    <w:rsid w:val="00C703F4"/>
    <w:rsid w:val="00C7205A"/>
    <w:rsid w:val="00D14BC9"/>
    <w:rsid w:val="00D55E8F"/>
    <w:rsid w:val="00D71F4A"/>
    <w:rsid w:val="00E04D16"/>
    <w:rsid w:val="00EA2CFA"/>
    <w:rsid w:val="00F0727F"/>
    <w:rsid w:val="00F15C43"/>
    <w:rsid w:val="00F2102E"/>
    <w:rsid w:val="00F8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F116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FA"/>
    <w:pPr>
      <w:ind w:left="720"/>
      <w:contextualSpacing/>
    </w:pPr>
  </w:style>
  <w:style w:type="table" w:styleId="TableGrid">
    <w:name w:val="Table Grid"/>
    <w:basedOn w:val="TableNormal"/>
    <w:uiPriority w:val="39"/>
    <w:rsid w:val="00915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64">
      <w:bodyDiv w:val="1"/>
      <w:marLeft w:val="0"/>
      <w:marRight w:val="0"/>
      <w:marTop w:val="0"/>
      <w:marBottom w:val="0"/>
      <w:divBdr>
        <w:top w:val="none" w:sz="0" w:space="0" w:color="auto"/>
        <w:left w:val="none" w:sz="0" w:space="0" w:color="auto"/>
        <w:bottom w:val="none" w:sz="0" w:space="0" w:color="auto"/>
        <w:right w:val="none" w:sz="0" w:space="0" w:color="auto"/>
      </w:divBdr>
    </w:div>
    <w:div w:id="126971601">
      <w:bodyDiv w:val="1"/>
      <w:marLeft w:val="0"/>
      <w:marRight w:val="0"/>
      <w:marTop w:val="0"/>
      <w:marBottom w:val="0"/>
      <w:divBdr>
        <w:top w:val="none" w:sz="0" w:space="0" w:color="auto"/>
        <w:left w:val="none" w:sz="0" w:space="0" w:color="auto"/>
        <w:bottom w:val="none" w:sz="0" w:space="0" w:color="auto"/>
        <w:right w:val="none" w:sz="0" w:space="0" w:color="auto"/>
      </w:divBdr>
    </w:div>
    <w:div w:id="148636407">
      <w:bodyDiv w:val="1"/>
      <w:marLeft w:val="0"/>
      <w:marRight w:val="0"/>
      <w:marTop w:val="0"/>
      <w:marBottom w:val="0"/>
      <w:divBdr>
        <w:top w:val="none" w:sz="0" w:space="0" w:color="auto"/>
        <w:left w:val="none" w:sz="0" w:space="0" w:color="auto"/>
        <w:bottom w:val="none" w:sz="0" w:space="0" w:color="auto"/>
        <w:right w:val="none" w:sz="0" w:space="0" w:color="auto"/>
      </w:divBdr>
    </w:div>
    <w:div w:id="159275718">
      <w:bodyDiv w:val="1"/>
      <w:marLeft w:val="0"/>
      <w:marRight w:val="0"/>
      <w:marTop w:val="0"/>
      <w:marBottom w:val="0"/>
      <w:divBdr>
        <w:top w:val="none" w:sz="0" w:space="0" w:color="auto"/>
        <w:left w:val="none" w:sz="0" w:space="0" w:color="auto"/>
        <w:bottom w:val="none" w:sz="0" w:space="0" w:color="auto"/>
        <w:right w:val="none" w:sz="0" w:space="0" w:color="auto"/>
      </w:divBdr>
    </w:div>
    <w:div w:id="296880105">
      <w:bodyDiv w:val="1"/>
      <w:marLeft w:val="0"/>
      <w:marRight w:val="0"/>
      <w:marTop w:val="0"/>
      <w:marBottom w:val="0"/>
      <w:divBdr>
        <w:top w:val="none" w:sz="0" w:space="0" w:color="auto"/>
        <w:left w:val="none" w:sz="0" w:space="0" w:color="auto"/>
        <w:bottom w:val="none" w:sz="0" w:space="0" w:color="auto"/>
        <w:right w:val="none" w:sz="0" w:space="0" w:color="auto"/>
      </w:divBdr>
    </w:div>
    <w:div w:id="906646198">
      <w:bodyDiv w:val="1"/>
      <w:marLeft w:val="0"/>
      <w:marRight w:val="0"/>
      <w:marTop w:val="0"/>
      <w:marBottom w:val="0"/>
      <w:divBdr>
        <w:top w:val="none" w:sz="0" w:space="0" w:color="auto"/>
        <w:left w:val="none" w:sz="0" w:space="0" w:color="auto"/>
        <w:bottom w:val="none" w:sz="0" w:space="0" w:color="auto"/>
        <w:right w:val="none" w:sz="0" w:space="0" w:color="auto"/>
      </w:divBdr>
    </w:div>
    <w:div w:id="1016351585">
      <w:bodyDiv w:val="1"/>
      <w:marLeft w:val="0"/>
      <w:marRight w:val="0"/>
      <w:marTop w:val="0"/>
      <w:marBottom w:val="0"/>
      <w:divBdr>
        <w:top w:val="none" w:sz="0" w:space="0" w:color="auto"/>
        <w:left w:val="none" w:sz="0" w:space="0" w:color="auto"/>
        <w:bottom w:val="none" w:sz="0" w:space="0" w:color="auto"/>
        <w:right w:val="none" w:sz="0" w:space="0" w:color="auto"/>
      </w:divBdr>
    </w:div>
    <w:div w:id="1890334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1052</Words>
  <Characters>5998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2020-08-22T02:05:00Z</dcterms:created>
  <dcterms:modified xsi:type="dcterms:W3CDTF">2020-08-22T07:37:00Z</dcterms:modified>
</cp:coreProperties>
</file>