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PUTUSAN</w:t>
      </w:r>
    </w:p>
    <w:p>
      <w:pPr>
        <w:spacing w:after="240"/>
        <w:jc w:val="center"/>
      </w:pPr>
      <w:r>
        <w:rPr>
          <w:b/>
          <w:i w:val="0"/>
          <w:sz w:val="24"/>
        </w:rPr>
        <w:t>Nomor 147/Pdt.G/2026/PN.Sby</w:t>
      </w:r>
    </w:p>
    <w:p>
      <w:pPr>
        <w:spacing w:after="240"/>
        <w:jc w:val="center"/>
      </w:pPr>
      <w:r>
        <w:rPr>
          <w:b/>
          <w:i w:val="0"/>
        </w:rPr>
        <w:t>DEMI KEADILAN BERDASARKAN KETUHANAN YANG MAHA ESA</w:t>
      </w:r>
    </w:p>
    <w:p>
      <w:pPr>
        <w:spacing w:after="200"/>
        <w:jc w:val="both"/>
      </w:pPr>
      <w:r>
        <w:rPr>
          <w:b w:val="0"/>
          <w:i w:val="0"/>
        </w:rPr>
        <w:t>Pengadilan Negeri Surabaya yang memeriksa dan mengadili perkara perdata pada tingkat pertama, telah menjatuhkan putusan sebagai berikut dalam perkara antara:</w:t>
      </w:r>
    </w:p>
    <w:p>
      <w:pPr>
        <w:spacing w:after="0"/>
      </w:pPr>
      <w:r>
        <w:rPr>
          <w:b/>
          <w:i w:val="0"/>
        </w:rPr>
        <w:t>PT SAMUDRA ARTHA LESTARI</w:t>
      </w:r>
    </w:p>
    <w:p>
      <w:pPr>
        <w:spacing w:after="80"/>
        <w:jc w:val="both"/>
      </w:pPr>
      <w:r>
        <w:rPr>
          <w:b w:val="0"/>
          <w:i w:val="0"/>
        </w:rPr>
        <w:t>berkedudukan di Jalan Rungkut Industri VII No. 24, Surabaya, dalam hal ini diwakili oleh kuasa hukumnya berdasarkan Surat Kuasa Khusus tertanggal 3 Februari 2026;</w:t>
      </w:r>
    </w:p>
    <w:p>
      <w:pPr>
        <w:spacing w:after="200"/>
      </w:pPr>
      <w:r>
        <w:rPr>
          <w:b w:val="0"/>
          <w:i/>
        </w:rPr>
        <w:t>selanjutnya disebut sebagai PENGGUGAT;</w:t>
      </w:r>
    </w:p>
    <w:p>
      <w:pPr>
        <w:spacing w:after="0"/>
      </w:pPr>
      <w:r>
        <w:rPr>
          <w:b/>
          <w:i w:val="0"/>
        </w:rPr>
        <w:t>PT BAHARI NUSA MANDIRI</w:t>
      </w:r>
    </w:p>
    <w:p>
      <w:pPr>
        <w:spacing w:after="80"/>
        <w:jc w:val="both"/>
      </w:pPr>
      <w:r>
        <w:rPr>
          <w:b w:val="0"/>
          <w:i w:val="0"/>
        </w:rPr>
        <w:t>berkedudukan di Jalan Perak Timur No. 118, Surabaya, dalam hal ini diwakili oleh Direktur Utama;</w:t>
      </w:r>
    </w:p>
    <w:p>
      <w:pPr>
        <w:spacing w:after="240"/>
      </w:pPr>
      <w:r>
        <w:rPr>
          <w:b w:val="0"/>
          <w:i/>
        </w:rPr>
        <w:t>selanjutnya disebut sebagai TERGUGAT;</w:t>
      </w:r>
    </w:p>
    <w:p>
      <w:pPr>
        <w:spacing w:after="160"/>
        <w:jc w:val="center"/>
      </w:pPr>
      <w:r>
        <w:rPr>
          <w:b/>
          <w:i w:val="0"/>
        </w:rPr>
        <w:t>TENTANG DUDUK PERKARA</w:t>
      </w:r>
    </w:p>
    <w:p>
      <w:pPr>
        <w:spacing w:after="120"/>
        <w:jc w:val="both"/>
      </w:pPr>
      <w:r>
        <w:rPr>
          <w:b w:val="0"/>
          <w:i w:val="0"/>
        </w:rPr>
        <w:t>Menimbang, bahwa Penggugat dengan surat gugatannya tertanggal 11 Februari 2026 yang didaftarkan di Kepaniteraan Pengadilan Negeri Surabaya pada tanggal 12 Februari 2026 dalam Register Nomor 147/Pdt.G/2026/PN.Sby, telah mengajukan gugatan wanprestasi terhadap Tergugat;</w:t>
      </w:r>
    </w:p>
    <w:p>
      <w:pPr>
        <w:spacing w:after="120"/>
        <w:jc w:val="both"/>
      </w:pPr>
      <w:r>
        <w:rPr>
          <w:b w:val="0"/>
          <w:i w:val="0"/>
        </w:rPr>
        <w:t>Menimbang, bahwa para pihak telah terikat dalam Perjanjian Kerja Sama Pengangkutan Nomor 08/PKS/SAL-BNM/2025 tertanggal 14 Juli 2025, yang pada pokoknya mengatur kewajiban Tergugat menyediakan armada pengangkutan sebanyak 12 unit selama 18 bulan;</w:t>
      </w:r>
    </w:p>
    <w:p>
      <w:pPr>
        <w:spacing w:after="120"/>
        <w:jc w:val="both"/>
      </w:pPr>
      <w:r>
        <w:rPr>
          <w:b w:val="0"/>
          <w:i w:val="0"/>
        </w:rPr>
        <w:t>Menimbang, bahwa Penggugat mendalilkan Tergugat tidak memenuhi kewajiban penyediaan armada sejak bulan November 2025 sehingga menimbulkan kerugian materiil yang diperhitungkan sebesar Rp2.480.000.000,00 (dua miliar empat ratus delapan puluh juta rupiah);</w:t>
      </w:r>
    </w:p>
    <w:p>
      <w:pPr>
        <w:spacing w:after="120"/>
        <w:jc w:val="both"/>
      </w:pPr>
      <w:r>
        <w:rPr>
          <w:b w:val="0"/>
          <w:i w:val="0"/>
        </w:rPr>
        <w:t>Menimbang, bahwa terhadap gugatan tersebut Tergugat telah mengajukan jawaban tertanggal 9 Maret 2026, yang pada pokoknya membantah seluruh dalil Penggugat dan mengajukan gugatan rekonvensi;</w:t>
      </w:r>
    </w:p>
    <w:p>
      <w:pPr>
        <w:spacing w:after="160"/>
        <w:jc w:val="center"/>
      </w:pPr>
      <w:r>
        <w:rPr>
          <w:b/>
          <w:i w:val="0"/>
        </w:rPr>
        <w:t>PERTIMBANGAN HUKUM</w:t>
      </w:r>
    </w:p>
    <w:p>
      <w:pPr>
        <w:spacing w:after="120"/>
        <w:jc w:val="both"/>
      </w:pPr>
      <w:r>
        <w:rPr>
          <w:b w:val="0"/>
          <w:i w:val="0"/>
        </w:rPr>
        <w:t>Menimbang, bahwa yang menjadi pokok sengketa adalah apakah Tergugat telah melakukan wanprestasi atas Perjanjian Nomor 08/PKS/SAL-BNM/2025;</w:t>
      </w:r>
    </w:p>
    <w:p>
      <w:pPr>
        <w:spacing w:after="120"/>
        <w:jc w:val="both"/>
      </w:pPr>
      <w:r>
        <w:rPr>
          <w:b w:val="0"/>
          <w:i w:val="0"/>
        </w:rPr>
        <w:t>Menimbang, bahwa berdasarkan bukti surat P-1 sampai dengan P-14 serta keterangan dua orang saksi yang diajukan Penggugat, Majelis Hakim berpendapat bahwa kewajiban penyediaan armada sejak November 2025 memang tidak dipenuhi oleh Tergugat;</w:t>
      </w:r>
    </w:p>
    <w:p>
      <w:pPr>
        <w:spacing w:after="120"/>
        <w:jc w:val="both"/>
      </w:pPr>
      <w:r>
        <w:rPr>
          <w:b w:val="0"/>
          <w:i w:val="0"/>
        </w:rPr>
        <w:t>Menimbang, bahwa dalil Tergugat mengenai keadaan memaksa (overmacht) tidak didukung bukti yang cukup, sehingga harus dikesampingkan;</w:t>
      </w:r>
    </w:p>
    <w:p>
      <w:pPr>
        <w:spacing w:after="120"/>
        <w:jc w:val="both"/>
      </w:pPr>
      <w:r>
        <w:rPr>
          <w:b w:val="0"/>
          <w:i w:val="0"/>
        </w:rPr>
        <w:t>Menimbang, bahwa mengenai besaran kerugian, Majelis Hakim berpendapat tuntutan Penggugat tidak seluruhnya dapat dikabulkan karena sebagian pos kerugian tidak dirinci secara terukur;</w:t>
      </w:r>
    </w:p>
    <w:p>
      <w:pPr>
        <w:spacing w:after="120"/>
        <w:jc w:val="both"/>
      </w:pPr>
      <w:r>
        <w:rPr>
          <w:b w:val="0"/>
          <w:i w:val="0"/>
        </w:rPr>
        <w:t>Mengingat Pasal 1243 dan Pasal 1365 Kitab Undang-Undang Hukum Perdata serta peraturan perundang-undangan lain yang berkaitan;</w:t>
      </w:r>
    </w:p>
    <w:p>
      <w:pPr>
        <w:spacing w:after="160"/>
        <w:jc w:val="center"/>
      </w:pPr>
      <w:r>
        <w:rPr>
          <w:b/>
          <w:i w:val="0"/>
        </w:rPr>
        <w:t>MENGADILI</w:t>
      </w:r>
    </w:p>
    <w:p>
      <w:pPr>
        <w:spacing w:after="80"/>
      </w:pPr>
      <w:r>
        <w:rPr>
          <w:b/>
          <w:i w:val="0"/>
        </w:rPr>
        <w:t>Dalam Konvensi:</w:t>
      </w:r>
    </w:p>
    <w:p>
      <w:pPr>
        <w:spacing w:after="80"/>
        <w:ind w:left="360"/>
        <w:jc w:val="both"/>
      </w:pPr>
      <w:r>
        <w:t>1. Mengabulkan gugatan Penggugat untuk sebagian;</w:t>
      </w:r>
    </w:p>
    <w:p>
      <w:pPr>
        <w:spacing w:after="80"/>
        <w:ind w:left="360"/>
        <w:jc w:val="both"/>
      </w:pPr>
      <w:r>
        <w:t>2. Menyatakan Tergugat telah melakukan wanprestasi atas Perjanjian Kerja Sama Pengangkutan Nomor 08/PKS/SAL-BNM/2025 tertanggal 14 Juli 2025;</w:t>
      </w:r>
    </w:p>
    <w:p>
      <w:pPr>
        <w:spacing w:after="80"/>
        <w:ind w:left="360"/>
        <w:jc w:val="both"/>
      </w:pPr>
      <w:r>
        <w:t>3. Menghukum Tergugat untuk membayar ganti rugi materiil kepada Penggugat sebesar Rp1.650.000.000,00 (satu miliar enam ratus lima puluh juta rupiah);</w:t>
      </w:r>
    </w:p>
    <w:p>
      <w:pPr>
        <w:spacing w:after="80"/>
        <w:ind w:left="360"/>
        <w:jc w:val="both"/>
      </w:pPr>
      <w:r>
        <w:t>4. Menolak gugatan Penggugat untuk selain dan selebihnya;</w:t>
      </w:r>
    </w:p>
    <w:p>
      <w:pPr>
        <w:spacing w:after="80"/>
      </w:pPr>
      <w:r>
        <w:rPr>
          <w:b/>
          <w:i w:val="0"/>
        </w:rPr>
        <w:t>Dalam Rekonvensi:</w:t>
      </w:r>
    </w:p>
    <w:p>
      <w:pPr>
        <w:spacing w:after="80"/>
        <w:ind w:left="360"/>
      </w:pPr>
      <w:r>
        <w:t>1. Menolak gugatan Penggugat Rekonvensi untuk seluruhnya;</w:t>
      </w:r>
    </w:p>
    <w:p>
      <w:pPr>
        <w:spacing w:after="80"/>
      </w:pPr>
      <w:r>
        <w:rPr>
          <w:b/>
          <w:i w:val="0"/>
        </w:rPr>
        <w:t>Dalam Konvensi dan Rekonvensi:</w:t>
      </w:r>
    </w:p>
    <w:p>
      <w:pPr>
        <w:spacing w:after="240"/>
        <w:ind w:left="360"/>
        <w:jc w:val="both"/>
      </w:pPr>
      <w:r>
        <w:t>1. Menghukum Tergugat untuk membayar biaya perkara sebesar Rp1.245.000,00 (satu juta dua ratus empat puluh lima ribu rupiah);</w:t>
      </w:r>
    </w:p>
    <w:p>
      <w:pPr>
        <w:spacing w:after="280"/>
        <w:jc w:val="both"/>
      </w:pPr>
      <w:r>
        <w:rPr>
          <w:b w:val="0"/>
          <w:i w:val="0"/>
        </w:rPr>
        <w:t>Demikian diputuskan dalam rapat permusyawaratan Majelis Hakim Pengadilan Negeri Surabaya pada hari Selasa, tanggal 19 Mei 2026, dan diucapkan dalam sidang terbuka untuk umum pada hari Kamis, tanggal 21 Mei 2026.</w:t>
      </w:r>
    </w:p>
    <w:tbl>
      <w:tblPr>
        <w:tblW w:type="auto" w:w="0"/>
        <w:tblLook w:firstColumn="1" w:firstRow="1" w:lastColumn="0" w:lastRow="0" w:noHBand="0" w:noVBand="1" w:val="04A0"/>
      </w:tblPr>
      <w:tblGrid>
        <w:gridCol w:w="4320"/>
        <w:gridCol w:w="4320"/>
      </w:tblGrid>
      <w:tr>
        <w:tc>
          <w:tcPr>
            <w:tcW w:type="dxa" w:w="4320"/>
          </w:tcPr>
          <w:p>
            <w:pPr>
              <w:jc w:val="center"/>
            </w:pPr>
            <w:r>
              <w:t>Hakim Anggota,</w:t>
              <w:br/>
              <w:br/>
              <w:br/>
              <w:br/>
              <w:t>R. SUTEJA WIRAATMAJA, S.H.</w:t>
              <w:br/>
              <w:t>DARMAWAN PRAKOSO, S.H., M.H.</w:t>
            </w:r>
          </w:p>
        </w:tc>
        <w:tc>
          <w:tcPr>
            <w:tcW w:type="dxa" w:w="4320"/>
          </w:tcPr>
          <w:p>
            <w:pPr>
              <w:jc w:val="center"/>
            </w:pPr>
            <w:r>
              <w:t>Hakim Ketua Majelis,</w:t>
              <w:br/>
              <w:br/>
              <w:br/>
              <w:br/>
              <w:t>SITI RAHAYUNINGSIH, S.H., M.H.</w:t>
            </w:r>
          </w:p>
        </w:tc>
      </w:tr>
    </w:tbl>
    <w:p>
      <w:pPr>
        <w:spacing w:after="120"/>
      </w:pPr>
      <w:r>
        <w:rPr>
          <w:b w:val="0"/>
          <w:i w:val="0"/>
        </w:rPr>
      </w:r>
    </w:p>
    <w:p>
      <w:pPr>
        <w:spacing w:after="0"/>
        <w:jc w:val="center"/>
      </w:pPr>
      <w:r>
        <w:rPr>
          <w:b w:val="0"/>
          <w:i w:val="0"/>
        </w:rPr>
        <w:t>Panitera Pengganti,</w:t>
      </w:r>
    </w:p>
    <w:p>
      <w:pPr>
        <w:spacing w:after="280"/>
        <w:jc w:val="center"/>
      </w:pPr>
      <w:r>
        <w:rPr>
          <w:b w:val="0"/>
          <w:i w:val="0"/>
        </w:rPr>
        <w:br/>
        <w:br/>
        <w:t>AGUS SETIAWAN, S.H.</w:t>
      </w:r>
    </w:p>
    <w:p>
      <w:pPr>
        <w:spacing w:after="160"/>
        <w:jc w:val="both"/>
      </w:pPr>
      <w:r>
        <w:rPr>
          <w:b w:val="0"/>
          <w:i/>
          <w:sz w:val="18"/>
        </w:rPr>
        <w:t>Salinan sesuai dengan aslinya. Dokumen ini diterbitkan secara elektronik dan telah diverifikasi melalui sistem informasi penelusuran perkara.</w:t>
      </w:r>
    </w:p>
    <w:p>
      <w:pPr>
        <w:spacing w:after="200"/>
        <w:jc w:val="left"/>
      </w:pPr>
      <w:r>
        <w:rPr>
          <w:rFonts w:ascii="Courier New" w:hAnsi="Courier New"/>
          <w:b/>
          <w:sz w:val="20"/>
        </w:rPr>
        <w:t>flag{s3ac1f9b0e7d4426a8f1c05e9b3a7d2f4}</w:t>
      </w:r>
    </w:p>
    <w:p>
      <w:r>
        <w:rPr>
          <w:i/>
          <w:color w:val="888888"/>
          <w:sz w:val="15"/>
        </w:rPr>
        <w:t>ARTEFAK SIMULASI CTF -- dokumen fiktif. Nomor perkara, para pihak, dan nama majelis adalah rekaan. Bukan putusan pengadilan yang sah dan tidak memiliki kekuatan hukum apa pun.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