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Formal Notice of Delay and Requirement to Cure</w:t>
      </w:r>
    </w:p>
    <w:p>
      <w:pPr>
        <w:spacing w:after="240"/>
      </w:pPr>
      <w:r>
        <w:rPr>
          <w:i/>
          <w:color w:val="5A5A5A"/>
        </w:rPr>
        <w:t>Synthetic arbitration POC exhibit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25 March 2026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From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Northbridge Renewables Limited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To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Meridian Components Limited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By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Email and recorded delivery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Agreement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Supply Agreement dated 1 February 2026</w:t>
            </w:r>
          </w:p>
        </w:tc>
      </w:tr>
    </w:tbl>
    <w:p>
      <w:pPr>
        <w:pStyle w:val="Heading1"/>
      </w:pPr>
      <w:r>
        <w:t>Notice</w:t>
      </w:r>
    </w:p>
    <w:p>
      <w:pPr>
        <w:keepLines w:val="0"/>
      </w:pPr>
      <w:r>
        <w:t>Meridian failed to deliver the first 40 inverter control units by 20 March 2026. Northbridge gives formal notice that this is a material failure under clauses 3 and 6 of the Supply Agreement.</w:t>
      </w:r>
    </w:p>
    <w:p>
      <w:pPr>
        <w:pStyle w:val="Heading1"/>
      </w:pPr>
      <w:r>
        <w:t>Required cure</w:t>
      </w:r>
    </w:p>
    <w:p>
      <w:pPr>
        <w:keepLines w:val="0"/>
      </w:pPr>
      <w:r>
        <w:t>By 17:00 on 1 April 2026, Meridian must provide a credible recovery plan and confirm binding dispatch dates that preserve delivery of all 120 conforming units in time for Northbridge's commissioning programme.</w:t>
      </w:r>
    </w:p>
    <w:p>
      <w:pPr>
        <w:pStyle w:val="Heading1"/>
      </w:pPr>
      <w:r>
        <w:t>Reservation of rights</w:t>
      </w:r>
    </w:p>
    <w:p>
      <w:pPr>
        <w:keepLines w:val="0"/>
      </w:pPr>
      <w:r>
        <w:t>Northbridge reserves all rights, including its rights to reject non-conforming goods, terminate for an uncured material failure, procure replacements and claim resulting losses.</w:t>
      </w:r>
    </w:p>
    <w:p>
      <w:pPr>
        <w:pStyle w:val="Heading1"/>
      </w:pPr>
      <w:r>
        <w:t>Signed</w:t>
      </w:r>
    </w:p>
    <w:p>
      <w:pPr>
        <w:keepLines w:val="0"/>
      </w:pPr>
      <w:r>
        <w:t>/s/ Amelia Hart</w:t>
        <w:br/>
        <w:t>Chief Financial Officer</w:t>
        <w:br/>
        <w:t>Northbridge Renewables Limited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A5A5A"/>
        <w:sz w:val="18"/>
      </w:rPr>
      <w:t xml:space="preserve">Synthetic POC |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5A5A5A"/>
        <w:sz w:val="18"/>
      </w:rPr>
      <w:t>Exhibit AH6 | Notice of Delay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AH6 | Notice of Delay</dc:title>
  <dc:subject>Synthetic arbitration bundle-builder proof of concept</dc:subject>
  <dc:creator>Synthetic POC</dc:creator>
  <cp:keywords>synthetic, arbitration, exhibits, bundle builder</cp:keywords>
  <dc:description>Entirely fictional; created for software testing.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