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0"/>
        </w:rPr>
        <w:t>IN THE ARBITRATION BETWEEN</w:t>
      </w:r>
    </w:p>
    <w:p>
      <w:pPr>
        <w:jc w:val="center"/>
      </w:pPr>
      <w:r>
        <w:rPr>
          <w:b/>
          <w:color w:val="17365D"/>
          <w:sz w:val="34"/>
        </w:rPr>
        <w:t>MOORLAND BATTERY STORAGE LIMITED</w:t>
      </w:r>
    </w:p>
    <w:p>
      <w:pPr>
        <w:jc w:val="center"/>
      </w:pPr>
      <w:r>
        <w:rPr>
          <w:i/>
          <w:sz w:val="21"/>
        </w:rPr>
        <w:t>and</w:t>
      </w:r>
    </w:p>
    <w:p>
      <w:pPr>
        <w:jc w:val="center"/>
      </w:pPr>
      <w:r>
        <w:rPr>
          <w:b/>
          <w:color w:val="17365D"/>
          <w:sz w:val="34"/>
        </w:rPr>
        <w:t>CALDER GRID SOLUTIONS LIMITED</w:t>
      </w:r>
    </w:p>
    <w:p>
      <w:pPr>
        <w:jc w:val="center"/>
      </w:pPr>
      <w:r>
        <w:rPr>
          <w:b/>
          <w:color w:val="365F91"/>
          <w:sz w:val="28"/>
        </w:rPr>
        <w:t>WITNESS STATEMENT OF PRIYA NAIR</w:t>
      </w:r>
    </w:p>
    <w:tbl>
      <w:tblPr>
        <w:tblW w:type="auto" w:w="0"/>
        <w:tblLayout w:type="fixed"/>
        <w:tblLook w:firstColumn="1" w:firstRow="1" w:lastColumn="0" w:lastRow="0" w:noHBand="0" w:noVBand="1" w:val="04A0"/>
      </w:tblPr>
      <w:tblGrid>
        <w:gridCol w:w="2045"/>
        <w:gridCol w:w="7560"/>
      </w:tblGrid>
      <w:tr>
        <w:tc>
          <w:tcPr>
            <w:tcW w:type="dxa" w:w="2045"/>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shd w:fill="EDF2F7"/>
          </w:tcPr>
          <w:p>
            <w:r>
              <w:rPr>
                <w:b/>
                <w:sz w:val="19"/>
              </w:rPr>
              <w:t>Witness</w:t>
            </w:r>
          </w:p>
        </w:tc>
        <w:tc>
          <w:tcPr>
            <w:tcW w:type="dxa" w:w="7560"/>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tcPr>
          <w:p>
            <w:r>
              <w:rPr>
                <w:sz w:val="19"/>
              </w:rPr>
              <w:t>Priya Nair</w:t>
            </w:r>
          </w:p>
        </w:tc>
      </w:tr>
      <w:tr>
        <w:tc>
          <w:tcPr>
            <w:tcW w:type="dxa" w:w="2045"/>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shd w:fill="EDF2F7"/>
          </w:tcPr>
          <w:p>
            <w:r>
              <w:rPr>
                <w:b/>
                <w:sz w:val="19"/>
              </w:rPr>
              <w:t>Role</w:t>
            </w:r>
          </w:p>
        </w:tc>
        <w:tc>
          <w:tcPr>
            <w:tcW w:type="dxa" w:w="7560"/>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tcPr>
          <w:p>
            <w:r>
              <w:rPr>
                <w:sz w:val="19"/>
              </w:rPr>
              <w:t>Project Director, Moorland Battery Storage Limited</w:t>
            </w:r>
          </w:p>
        </w:tc>
      </w:tr>
      <w:tr>
        <w:tc>
          <w:tcPr>
            <w:tcW w:type="dxa" w:w="2045"/>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shd w:fill="EDF2F7"/>
          </w:tcPr>
          <w:p>
            <w:r>
              <w:rPr>
                <w:b/>
                <w:sz w:val="19"/>
              </w:rPr>
              <w:t>Statement date</w:t>
            </w:r>
          </w:p>
        </w:tc>
        <w:tc>
          <w:tcPr>
            <w:tcW w:type="dxa" w:w="7560"/>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tcPr>
          <w:p>
            <w:r>
              <w:rPr>
                <w:sz w:val="19"/>
              </w:rPr>
              <w:t>12 May 2026</w:t>
            </w:r>
          </w:p>
        </w:tc>
      </w:tr>
      <w:tr>
        <w:tc>
          <w:tcPr>
            <w:tcW w:type="dxa" w:w="2045"/>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shd w:fill="EDF2F7"/>
          </w:tcPr>
          <w:p>
            <w:r>
              <w:rPr>
                <w:b/>
                <w:sz w:val="19"/>
              </w:rPr>
              <w:t>Subject</w:t>
            </w:r>
          </w:p>
        </w:tc>
        <w:tc>
          <w:tcPr>
            <w:tcW w:type="dxa" w:w="7560"/>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tcPr>
          <w:p>
            <w:r>
              <w:rPr>
                <w:sz w:val="19"/>
              </w:rPr>
              <w:t>Ridgeway Battery Energy Storage Project</w:t>
            </w:r>
          </w:p>
        </w:tc>
      </w:tr>
      <w:tr>
        <w:tc>
          <w:tcPr>
            <w:tcW w:type="dxa" w:w="2045"/>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shd w:fill="EDF2F7"/>
          </w:tcPr>
          <w:p>
            <w:r>
              <w:rPr>
                <w:b/>
                <w:sz w:val="19"/>
              </w:rPr>
              <w:t>Purpose</w:t>
            </w:r>
          </w:p>
        </w:tc>
        <w:tc>
          <w:tcPr>
            <w:tcW w:type="dxa" w:w="7560"/>
            <w:vAlign w:val="center"/>
            <w:tcMar>
              <w:top w:w="90" w:type="dxa"/>
              <w:start w:w="120" w:type="dxa"/>
              <w:bottom w:w="90" w:type="dxa"/>
              <w:end w:w="120" w:type="dxa"/>
            </w:tcMar>
            <w:tcBorders>
              <w:top w:val="single" w:sz="4" w:color="D9E1EA"/>
              <w:left w:val="single" w:sz="4" w:color="D9E1EA"/>
              <w:bottom w:val="single" w:sz="4" w:color="D9E1EA"/>
              <w:right w:val="single" w:sz="4" w:color="D9E1EA"/>
            </w:tcBorders>
          </w:tcPr>
          <w:p>
            <w:r>
              <w:rPr>
                <w:sz w:val="19"/>
              </w:rPr>
              <w:t>Evidence concerning delivery, commissioning, delay and termination</w:t>
            </w:r>
          </w:p>
        </w:tc>
      </w:tr>
    </w:tbl>
    <w:p>
      <w:pPr>
        <w:spacing w:after="40"/>
      </w:pPr>
    </w:p>
    <w:p>
      <w:pPr>
        <w:pStyle w:val="Heading1"/>
        <w:keepNext/>
      </w:pPr>
      <w:r>
        <w:t>Introduction</w:t>
      </w:r>
    </w:p>
    <w:p>
      <w:pPr>
        <w:ind w:firstLine="346"/>
      </w:pPr>
      <w:r>
        <w:rPr>
          <w:b/>
        </w:rPr>
        <w:t xml:space="preserve">1. </w:t>
      </w:r>
      <w:r>
        <w:t>I am the Project Director of Moorland Battery Storage Limited (Moorland), the claimant in this arbitration. I have held that position since June 2025 and was responsible for coordinating the Ridgeway Battery Energy Storage Project with our contractor, Calder Grid Solutions Limited (Calder).</w:t>
      </w:r>
    </w:p>
    <w:p>
      <w:pPr>
        <w:ind w:firstLine="346"/>
      </w:pPr>
      <w:r>
        <w:rPr>
          <w:b/>
        </w:rPr>
        <w:t xml:space="preserve">2. </w:t>
      </w:r>
      <w:r>
        <w:t>I make this statement from my own knowledge, from records maintained in the ordinary course of the project, and from discussions with colleagues whose records I identify below. Unless I say otherwise, the matters in this statement are within my own knowledge.</w:t>
      </w:r>
    </w:p>
    <w:p>
      <w:pPr>
        <w:ind w:firstLine="346"/>
      </w:pPr>
      <w:r>
        <w:rPr>
          <w:b/>
        </w:rPr>
        <w:t xml:space="preserve">3. </w:t>
      </w:r>
      <w:r>
        <w:t>The project was the construction and commissioning of a 120 MW / 240 MWh battery storage facility at Ridgeway, Northumberland. The facility was intended to be available for the winter capacity auction and to provide balancing services under the grid connection agreement.</w:t>
      </w:r>
    </w:p>
    <w:p>
      <w:pPr>
        <w:ind w:firstLine="346"/>
      </w:pPr>
      <w:r>
        <w:rPr>
          <w:b/>
        </w:rPr>
        <w:t xml:space="preserve">4. </w:t>
      </w:r>
      <w:r>
        <w:t>The principal dispute concerns Calder's failure to achieve the contractual readiness date, the effect of repeated design and procurement changes, the payment consequences, and Moorland's decision to terminate after the agreed cure period expired.</w:t>
      </w:r>
    </w:p>
    <w:p>
      <w:pPr>
        <w:pStyle w:val="Heading1"/>
        <w:keepNext/>
      </w:pPr>
      <w:r>
        <w:t>Contract and mobilisation</w:t>
      </w:r>
    </w:p>
    <w:p>
      <w:pPr>
        <w:ind w:firstLine="346"/>
      </w:pPr>
      <w:r>
        <w:rPr>
          <w:b/>
        </w:rPr>
        <w:t xml:space="preserve">5. </w:t>
      </w:r>
      <w:r>
        <w:t>The parties signed the EPC contract on 18 November 2025. It required Calder to design, procure, install and commission the battery facility, subject to the technical requirements and the programme annexed to the contract.</w:t>
      </w:r>
    </w:p>
    <w:p>
      <w:pPr>
        <w:ind w:firstLine="346"/>
      </w:pPr>
      <w:r>
        <w:rPr>
          <w:b/>
        </w:rPr>
        <w:t xml:space="preserve">6. </w:t>
      </w:r>
      <w:r>
        <w:t>I refer to the executed EPC contract dated 18 November 2025. It records the agreed scope, the readiness date of 31 March 2026, the payment milestones, the change-control mechanism and the delay damages regime.</w:t>
      </w:r>
      <w:r>
        <w:t xml:space="preserve"> [PN-xx]</w:t>
      </w:r>
    </w:p>
    <w:p>
      <w:pPr>
        <w:ind w:firstLine="346"/>
      </w:pPr>
      <w:r>
        <w:rPr>
          <w:b/>
        </w:rPr>
        <w:t xml:space="preserve">7. </w:t>
      </w:r>
      <w:r>
        <w:t>The site was made available under a lease completed on 30 September 2025. The lease was important because it gave Calder access for surveys, foundations and the temporary works needed before the main equipment arrived.</w:t>
      </w:r>
      <w:r>
        <w:t xml:space="preserve"> [PN-xx]</w:t>
      </w:r>
    </w:p>
    <w:p>
      <w:pPr>
        <w:ind w:firstLine="346"/>
      </w:pPr>
      <w:r>
        <w:rPr>
          <w:b/>
        </w:rPr>
        <w:t xml:space="preserve">8. </w:t>
      </w:r>
      <w:r>
        <w:t>On 1 December 2025 I issued the notice to proceed after the conditions precedent had been satisfied. The notice confirmed that the mobilisation period had started and that Calder should proceed in accordance with the baseline programme.</w:t>
      </w:r>
      <w:r>
        <w:t xml:space="preserve"> [PN-xx]</w:t>
      </w:r>
    </w:p>
    <w:p>
      <w:pPr>
        <w:ind w:firstLine="346"/>
      </w:pPr>
      <w:r>
        <w:rPr>
          <w:b/>
        </w:rPr>
        <w:t xml:space="preserve">9. </w:t>
      </w:r>
      <w:r>
        <w:t>The grid connection offer from Calder Grid Solutions was accepted on 14 October 2025. It included the protection settings, energisation sequence and testing requirements that later became central to the commissioning dispute.</w:t>
      </w:r>
      <w:r>
        <w:t xml:space="preserve"> [PN-xx]</w:t>
      </w:r>
    </w:p>
    <w:p>
      <w:pPr>
        <w:ind w:firstLine="346"/>
      </w:pPr>
      <w:r>
        <w:rPr>
          <w:b/>
        </w:rPr>
        <w:t xml:space="preserve">10. </w:t>
      </w:r>
      <w:r>
        <w:t>Calder placed a purchase order for the battery containers on 10 December 2025. The order required delivery in three lots, with the first lot due at Ridgeway no later than 20 January 2026.</w:t>
      </w:r>
      <w:r>
        <w:t xml:space="preserve"> [PN-xx]</w:t>
      </w:r>
    </w:p>
    <w:p>
      <w:pPr>
        <w:pStyle w:val="Heading1"/>
        <w:keepNext/>
      </w:pPr>
      <w:r>
        <w:t>Design, procurement and progress</w:t>
      </w:r>
    </w:p>
    <w:p>
      <w:pPr>
        <w:ind w:firstLine="346"/>
      </w:pPr>
      <w:r>
        <w:rPr>
          <w:b/>
        </w:rPr>
        <w:t xml:space="preserve">11. </w:t>
      </w:r>
      <w:r>
        <w:t>The early procurement discussions were recorded in an email chain between Calder's project manager, Oliver Grant, and our procurement lead, Jamie Ellis, on 8 January 2026. The chain confirmed that the first delivery had moved by ten days and that the supplier had not yet released the final packing list.</w:t>
      </w:r>
      <w:r>
        <w:t xml:space="preserve"> [PN-xx]</w:t>
      </w:r>
    </w:p>
    <w:p>
      <w:pPr>
        <w:ind w:firstLine="346"/>
      </w:pPr>
      <w:r>
        <w:rPr>
          <w:b/>
        </w:rPr>
        <w:t xml:space="preserve">12. </w:t>
      </w:r>
      <w:r>
        <w:t>The design review minutes dated 18 December 2025 record that Calder had not closed the protection relay comments. They also record my instruction that all comments affecting the energisation sequence were to be closed before the witness testing window.</w:t>
      </w:r>
      <w:r>
        <w:t xml:space="preserve"> [PN-xx]</w:t>
      </w:r>
    </w:p>
    <w:p>
      <w:pPr>
        <w:ind w:firstLine="346"/>
      </w:pPr>
      <w:r>
        <w:rPr>
          <w:b/>
        </w:rPr>
        <w:t xml:space="preserve">13. </w:t>
      </w:r>
      <w:r>
        <w:t>The baseline programme revision C dated 5 December 2025 shows the critical path running through protection design, container delivery, cable testing and the energisation test. It records 31 March 2026 as the readiness date.</w:t>
      </w:r>
      <w:r>
        <w:t xml:space="preserve"> [PN-xx]</w:t>
      </w:r>
    </w:p>
    <w:p>
      <w:pPr>
        <w:ind w:firstLine="346"/>
      </w:pPr>
      <w:r>
        <w:rPr>
          <w:b/>
        </w:rPr>
        <w:t xml:space="preserve">14. </w:t>
      </w:r>
      <w:r>
        <w:t>The payment ledger through 31 March 2026 shows that Moorland paid the mobilisation and equipment milestones but withheld the disputed commissioning milestone pending evidence that the acceptance tests had been passed.</w:t>
      </w:r>
      <w:r>
        <w:t xml:space="preserve"> [PN-xx]</w:t>
      </w:r>
    </w:p>
    <w:p>
      <w:pPr>
        <w:ind w:firstLine="346"/>
      </w:pPr>
      <w:r>
        <w:rPr>
          <w:b/>
        </w:rPr>
        <w:t xml:space="preserve">15. </w:t>
      </w:r>
      <w:r>
        <w:t>Calder's milestone invoice 0461 dated 28 February 2026 sought payment for the first commissioning milestone. I did not approve it because the relay settings and the emergency-stop test remained unresolved.</w:t>
      </w:r>
      <w:r>
        <w:t xml:space="preserve"> [PN-xx]</w:t>
      </w:r>
    </w:p>
    <w:p>
      <w:pPr>
        <w:ind w:firstLine="346"/>
      </w:pPr>
      <w:r>
        <w:rPr>
          <w:b/>
        </w:rPr>
        <w:t xml:space="preserve">16. </w:t>
      </w:r>
      <w:r>
        <w:t>The geotechnical investigation report dated 9 October 2025 was available to Calder before the foundations were designed. It records the variable made-ground conditions and recommends localised ground improvement in the western compound.</w:t>
      </w:r>
      <w:r>
        <w:t xml:space="preserve"> [PN-xx]</w:t>
      </w:r>
    </w:p>
    <w:p>
      <w:pPr>
        <w:ind w:firstLine="346"/>
      </w:pPr>
      <w:r>
        <w:rPr>
          <w:b/>
        </w:rPr>
        <w:t xml:space="preserve">17. </w:t>
      </w:r>
      <w:r>
        <w:t>Our weather station readings for January to March 2026 do not show a period of exceptional weather capable of explaining the delay. There were several wet days, but the recorded conditions were within the allowance used in the baseline programme.</w:t>
      </w:r>
      <w:r>
        <w:t xml:space="preserve"> [PN-xx]</w:t>
      </w:r>
    </w:p>
    <w:p>
      <w:pPr>
        <w:pStyle w:val="Heading1"/>
        <w:keepNext/>
      </w:pPr>
      <w:r>
        <w:t>Delay and defects</w:t>
      </w:r>
    </w:p>
    <w:p>
      <w:pPr>
        <w:ind w:firstLine="346"/>
      </w:pPr>
      <w:r>
        <w:rPr>
          <w:b/>
        </w:rPr>
        <w:t xml:space="preserve">18. </w:t>
      </w:r>
      <w:r>
        <w:t>The February monthly progress report, issued on 28 February 2026, records that the protection design remained on the critical path and that only 68 of the 120 containers had reached site.</w:t>
      </w:r>
      <w:r>
        <w:t xml:space="preserve"> [PN-xx]</w:t>
      </w:r>
    </w:p>
    <w:p>
      <w:pPr>
        <w:ind w:firstLine="346"/>
      </w:pPr>
      <w:r>
        <w:rPr>
          <w:b/>
        </w:rPr>
        <w:t xml:space="preserve">19. </w:t>
      </w:r>
      <w:r>
        <w:t>The site diary entries from January to March 2026 provide daily records of delivery dates, crane availability, cable testing and Calder's requests for additional laydown space. I reviewed the entries with our site manager, Lewis Chapman.</w:t>
      </w:r>
      <w:r>
        <w:t xml:space="preserve"> [PN-xx]</w:t>
      </w:r>
    </w:p>
    <w:p>
      <w:pPr>
        <w:ind w:firstLine="346"/>
      </w:pPr>
      <w:r>
        <w:rPr>
          <w:b/>
        </w:rPr>
        <w:t xml:space="preserve">20. </w:t>
      </w:r>
      <w:r>
        <w:t>On 17 February 2026 there was a safety incident involving a reversing telehandler near the southern access road. The safety incident report records that no one was injured, but the area was closed for two shifts while the traffic management plan was revised.</w:t>
      </w:r>
      <w:r>
        <w:t xml:space="preserve"> [PN-xx]</w:t>
      </w:r>
    </w:p>
    <w:p>
      <w:pPr>
        <w:ind w:firstLine="346"/>
      </w:pPr>
      <w:r>
        <w:rPr>
          <w:b/>
        </w:rPr>
        <w:t xml:space="preserve">21. </w:t>
      </w:r>
      <w:r>
        <w:t>The defects register revision 4 dated 20 March 2026 records 37 open items, including incomplete fire detection testing, missing cable labels, incorrect protection settings and water ingress at two container roofs.</w:t>
      </w:r>
      <w:r>
        <w:t xml:space="preserve"> [PN-xx]</w:t>
      </w:r>
    </w:p>
    <w:p>
      <w:pPr>
        <w:ind w:firstLine="346"/>
      </w:pPr>
      <w:r>
        <w:rPr>
          <w:b/>
        </w:rPr>
        <w:t xml:space="preserve">22. </w:t>
      </w:r>
      <w:r>
        <w:t>The stage 1 commissioning test sheets show that the emergency-stop and protection-trip tests were not completed successfully on the dates proposed by Calder. The sheets contain the test readings and the signatures of the attending engineers.</w:t>
      </w:r>
      <w:r>
        <w:t xml:space="preserve"> [PN-xx]</w:t>
      </w:r>
    </w:p>
    <w:p>
      <w:pPr>
        <w:ind w:firstLine="346"/>
      </w:pPr>
      <w:r>
        <w:rPr>
          <w:b/>
        </w:rPr>
        <w:t xml:space="preserve">23. </w:t>
      </w:r>
      <w:r>
        <w:t>The independent engineer's report dated 2 April 2026 concludes that the facility could not be treated as ready for energisation on 31 March 2026. It attributes the principal delay to late design closure, incomplete testing and the absence of reliable evidence for several protection settings.</w:t>
      </w:r>
      <w:r>
        <w:t xml:space="preserve"> [PN-xx]</w:t>
      </w:r>
    </w:p>
    <w:p>
      <w:pPr>
        <w:pStyle w:val="Heading1"/>
        <w:keepNext/>
      </w:pPr>
      <w:r>
        <w:t>Change, notice and termination</w:t>
      </w:r>
    </w:p>
    <w:p>
      <w:pPr>
        <w:ind w:firstLine="346"/>
      </w:pPr>
      <w:r>
        <w:rPr>
          <w:b/>
        </w:rPr>
        <w:t xml:space="preserve">24. </w:t>
      </w:r>
      <w:r>
        <w:t>The board approval minutes dated 25 March 2026 record Moorland's decision to reserve its rights while allowing Calder a final opportunity to complete the protection work and provide a credible recovery programme.</w:t>
      </w:r>
      <w:r>
        <w:t xml:space="preserve"> [PN-xx]</w:t>
      </w:r>
    </w:p>
    <w:p>
      <w:pPr>
        <w:ind w:firstLine="346"/>
      </w:pPr>
      <w:r>
        <w:rPr>
          <w:b/>
        </w:rPr>
        <w:t xml:space="preserve">25. </w:t>
      </w:r>
      <w:r>
        <w:t>The contractor's insurance certificate for 2026 confirms that Calder maintained the public liability and contractors-all-risks cover required by the EPC contract.</w:t>
      </w:r>
      <w:r>
        <w:t xml:space="preserve"> [PN-xx]</w:t>
      </w:r>
    </w:p>
    <w:p>
      <w:pPr>
        <w:ind w:firstLine="346"/>
      </w:pPr>
      <w:r>
        <w:rPr>
          <w:b/>
        </w:rPr>
        <w:t xml:space="preserve">26. </w:t>
      </w:r>
      <w:r>
        <w:t>On 3 March 2026 I received an email chain in which Calder disputed the change-control position and asserted that the protection work should be treated as a variation. Moorland did not accept that assertion because the work fell within Calder's original technical scope.</w:t>
      </w:r>
      <w:r>
        <w:t xml:space="preserve"> [PN-xx]</w:t>
      </w:r>
    </w:p>
    <w:p>
      <w:pPr>
        <w:ind w:firstLine="346"/>
      </w:pPr>
      <w:r>
        <w:rPr>
          <w:b/>
        </w:rPr>
        <w:t xml:space="preserve">27. </w:t>
      </w:r>
      <w:r>
        <w:t>Moorland issued a delay notice on 18 March 2026. The notice identified the missed readiness date risk, the incomplete testing and the need for an agreed recovery programme within five working days.</w:t>
      </w:r>
      <w:r>
        <w:t xml:space="preserve"> [PN-xx]</w:t>
      </w:r>
    </w:p>
    <w:p>
      <w:pPr>
        <w:ind w:firstLine="346"/>
      </w:pPr>
      <w:r>
        <w:rPr>
          <w:b/>
        </w:rPr>
        <w:t xml:space="preserve">28. </w:t>
      </w:r>
      <w:r>
        <w:t>The damages calculation to 30 April 2026 applies the contractual daily rate to the period after 31 March 2026, with credit for the small amount of time that Calder demonstrated was affected by an approved access restriction.</w:t>
      </w:r>
      <w:r>
        <w:t xml:space="preserve"> [PN-xx]</w:t>
      </w:r>
    </w:p>
    <w:p>
      <w:pPr>
        <w:ind w:firstLine="346"/>
      </w:pPr>
      <w:r>
        <w:rPr>
          <w:b/>
        </w:rPr>
        <w:t xml:space="preserve">29. </w:t>
      </w:r>
      <w:r>
        <w:t>Despite further meetings, Calder did not provide evidence that the acceptance tests had passed or that the defects register had been reduced to the agreed level. Moorland therefore served the termination notice dated 30 April 2026.</w:t>
      </w:r>
      <w:r>
        <w:t xml:space="preserve"> [PN-xx]</w:t>
      </w:r>
    </w:p>
    <w:p>
      <w:pPr>
        <w:ind w:firstLine="346"/>
      </w:pPr>
      <w:r>
        <w:rPr>
          <w:b/>
        </w:rPr>
        <w:t xml:space="preserve">30. </w:t>
      </w:r>
      <w:r>
        <w:t>I have not amended any underlying project record in preparing this statement. The records I identify are retained in Moorland's project repository, and the filenames and dates in this statement correspond to the copies provided for this arbitration.</w:t>
      </w:r>
    </w:p>
    <w:p>
      <w:pPr>
        <w:ind w:firstLine="346"/>
      </w:pPr>
      <w:r>
        <w:rPr>
          <w:b/>
        </w:rPr>
        <w:t xml:space="preserve">31. </w:t>
      </w:r>
      <w:r>
        <w:t>The readiness date and the contractual test for completion are the same matters I described above by reference to the executed EPC contract. I rely on that contract again here because it is the source of the milestone, delay-damages and termination provisions.</w:t>
      </w:r>
    </w:p>
    <w:p>
      <w:pPr>
        <w:ind w:firstLine="346"/>
      </w:pPr>
      <w:r>
        <w:rPr>
          <w:b/>
        </w:rPr>
        <w:t xml:space="preserve">32. </w:t>
      </w:r>
      <w:r>
        <w:t>The baseline programme is also relevant at this stage. The sequence shown in revision C demonstrates why late protection design and late container delivery affected the critical path rather than merely a non-critical activity.</w:t>
      </w:r>
    </w:p>
    <w:p>
      <w:pPr>
        <w:ind w:firstLine="346"/>
      </w:pPr>
      <w:r>
        <w:rPr>
          <w:b/>
        </w:rPr>
        <w:t xml:space="preserve">33. </w:t>
      </w:r>
      <w:r>
        <w:t>The defects register was reviewed at each of the final coordination meetings. Its revision 4 status is consistent with the independent engineer's conclusion that the facility was not ready for energisation on 31 March 2026.</w:t>
      </w:r>
    </w:p>
    <w:p>
      <w:pPr>
        <w:ind w:firstLine="346"/>
      </w:pPr>
      <w:r>
        <w:rPr>
          <w:b/>
        </w:rPr>
        <w:t xml:space="preserve">34. </w:t>
      </w:r>
      <w:r>
        <w:t>The delay notice was not a stand-alone complaint. It followed the earlier progress reporting, the site diary entries and the commissioning test sheets, each of which recorded unresolved work affecting the same contractual readiness date.</w:t>
      </w:r>
    </w:p>
    <w:p>
      <w:pPr>
        <w:ind w:firstLine="346"/>
      </w:pPr>
      <w:r>
        <w:rPr>
          <w:b/>
        </w:rPr>
        <w:t xml:space="preserve">35. </w:t>
      </w:r>
      <w:r>
        <w:t>The independent engineer's report was considered before the board approval minutes were finalised. The board's decision to allow a final cure opportunity was therefore made with the benefit of an independent assessment, not simply Calder's own progress estimate.</w:t>
      </w:r>
    </w:p>
    <w:p>
      <w:pPr>
        <w:ind w:firstLine="346"/>
      </w:pPr>
      <w:r>
        <w:rPr>
          <w:b/>
        </w:rPr>
        <w:t xml:space="preserve">36. </w:t>
      </w:r>
      <w:r>
        <w:t>Finally, the damages calculation uses the contractual daily rate identified in the EPC contract and applies it to the period identified in the delay notice. The calculation is therefore tied to the same contractual and factual chronology described in this statement.</w:t>
      </w:r>
    </w:p>
    <w:p>
      <w:pPr>
        <w:pStyle w:val="Heading1"/>
        <w:keepNext/>
      </w:pPr>
      <w:r>
        <w:t>Statement of truth</w:t>
      </w:r>
    </w:p>
    <w:p>
      <w:r>
        <w:rPr>
          <w:b/>
        </w:rPr>
        <w:t>I believe that the facts stated in this witness statement are true.</w:t>
      </w:r>
    </w:p>
    <w:p>
      <w:pPr>
        <w:spacing w:before="320"/>
      </w:pPr>
      <w:r>
        <w:t>Signed: Priya Nair</w:t>
      </w:r>
    </w:p>
    <w:p>
      <w:r>
        <w:t>Dated: 12 May 2026</w:t>
      </w:r>
    </w:p>
    <w:sectPr w:rsidR="00FC693F" w:rsidRPr="0006063C" w:rsidSect="00034616">
      <w:headerReference w:type="default" r:id="rId9"/>
      <w:footerReference w:type="default" r:id="rId10"/>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7D"/>
        <w:sz w:val="16"/>
      </w:rPr>
      <w:t xml:space="preserve">Confidential synthetic sample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9737D"/>
        <w:sz w:val="16"/>
      </w:rPr>
      <w:t>Moorland Battery Storage Limited v Calder Grid Solutions Limited  |  Witness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